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cs="宋体"/>
          <w:sz w:val="30"/>
          <w:szCs w:val="30"/>
          <w:u w:val="single"/>
        </w:rPr>
      </w:pPr>
      <w:r>
        <w:rPr>
          <w:rFonts w:hint="eastAsia" w:ascii="宋体" w:hAnsi="宋体" w:cs="宋体"/>
          <w:b/>
          <w:sz w:val="30"/>
          <w:szCs w:val="30"/>
        </w:rPr>
        <w:t>东南大学成贤学院</w:t>
      </w:r>
      <w:r>
        <w:rPr>
          <w:rFonts w:hint="eastAsia" w:ascii="宋体" w:hAnsi="宋体" w:cs="宋体"/>
          <w:b/>
          <w:bCs/>
          <w:sz w:val="30"/>
          <w:szCs w:val="30"/>
          <w:u w:val="single"/>
        </w:rPr>
        <w:t>化学工程与工艺</w:t>
      </w:r>
      <w:r>
        <w:rPr>
          <w:rFonts w:hint="eastAsia" w:ascii="宋体" w:hAnsi="宋体" w:cs="宋体"/>
          <w:b/>
          <w:bCs/>
          <w:sz w:val="30"/>
          <w:szCs w:val="30"/>
        </w:rPr>
        <w:t>本科专业培养方案</w:t>
      </w:r>
    </w:p>
    <w:p>
      <w:pPr>
        <w:spacing w:beforeLines="50" w:afterLines="50" w:line="440" w:lineRule="exact"/>
        <w:ind w:firstLine="720" w:firstLineChars="300"/>
        <w:jc w:val="both"/>
        <w:rPr>
          <w:rFonts w:ascii="宋体" w:hAnsi="宋体" w:cs="宋体"/>
          <w:b/>
          <w:sz w:val="24"/>
        </w:rPr>
      </w:pPr>
      <w:bookmarkStart w:id="0" w:name="OLE_LINK1"/>
      <w:r>
        <w:rPr>
          <w:rFonts w:hint="eastAsia" w:ascii="宋体" w:hAnsi="宋体" w:cs="宋体"/>
          <w:b/>
          <w:sz w:val="24"/>
        </w:rPr>
        <w:t>门类：</w:t>
      </w:r>
      <w:r>
        <w:rPr>
          <w:rFonts w:hint="eastAsia" w:ascii="宋体" w:hAnsi="宋体" w:cs="宋体"/>
          <w:b/>
          <w:bCs/>
          <w:sz w:val="24"/>
          <w:u w:val="single"/>
        </w:rPr>
        <w:t>工学</w:t>
      </w:r>
      <w:r>
        <w:rPr>
          <w:rFonts w:hint="eastAsia" w:ascii="宋体" w:hAnsi="宋体" w:cs="宋体"/>
          <w:b/>
          <w:bCs/>
          <w:sz w:val="24"/>
        </w:rPr>
        <w:t xml:space="preserve">   </w:t>
      </w:r>
      <w:r>
        <w:rPr>
          <w:rFonts w:hint="eastAsia" w:ascii="宋体" w:hAnsi="宋体" w:cs="宋体"/>
          <w:b/>
          <w:bCs/>
          <w:sz w:val="24"/>
          <w:lang w:val="en-US" w:eastAsia="zh-CN"/>
        </w:rPr>
        <w:t xml:space="preserve">       </w:t>
      </w:r>
      <w:r>
        <w:rPr>
          <w:rFonts w:hint="eastAsia" w:ascii="宋体" w:hAnsi="宋体" w:cs="宋体"/>
          <w:b/>
          <w:sz w:val="24"/>
        </w:rPr>
        <w:t xml:space="preserve">专业代码： </w:t>
      </w:r>
      <w:r>
        <w:rPr>
          <w:rFonts w:hint="eastAsia" w:ascii="宋体" w:hAnsi="宋体" w:cs="宋体"/>
          <w:b/>
          <w:bCs/>
          <w:sz w:val="24"/>
          <w:u w:val="single"/>
        </w:rPr>
        <w:t>081301</w:t>
      </w:r>
      <w:r>
        <w:rPr>
          <w:rFonts w:hint="eastAsia" w:ascii="宋体" w:hAnsi="宋体" w:cs="宋体"/>
          <w:b/>
          <w:sz w:val="24"/>
        </w:rPr>
        <w:t xml:space="preserve">     </w:t>
      </w:r>
      <w:r>
        <w:rPr>
          <w:rFonts w:hint="eastAsia" w:ascii="宋体" w:hAnsi="宋体" w:cs="宋体"/>
          <w:b/>
          <w:sz w:val="24"/>
          <w:lang w:val="en-US" w:eastAsia="zh-CN"/>
        </w:rPr>
        <w:t xml:space="preserve">  </w:t>
      </w:r>
      <w:r>
        <w:rPr>
          <w:rFonts w:hint="eastAsia" w:ascii="宋体" w:hAnsi="宋体" w:cs="宋体"/>
          <w:b/>
          <w:sz w:val="24"/>
        </w:rPr>
        <w:t>授予学位：</w:t>
      </w:r>
      <w:r>
        <w:rPr>
          <w:rFonts w:hint="eastAsia" w:ascii="宋体" w:hAnsi="宋体" w:cs="宋体"/>
          <w:b/>
          <w:bCs/>
          <w:sz w:val="24"/>
          <w:u w:val="single"/>
        </w:rPr>
        <w:t>工学学士</w:t>
      </w:r>
    </w:p>
    <w:p>
      <w:pPr>
        <w:spacing w:beforeLines="50" w:afterLines="50" w:line="440" w:lineRule="exact"/>
        <w:ind w:firstLine="720" w:firstLineChars="300"/>
        <w:rPr>
          <w:rFonts w:ascii="宋体" w:hAnsi="宋体" w:cs="宋体"/>
          <w:b/>
          <w:sz w:val="24"/>
          <w:u w:val="single"/>
        </w:rPr>
      </w:pPr>
      <w:r>
        <w:rPr>
          <w:rFonts w:hint="eastAsia" w:ascii="宋体" w:hAnsi="宋体" w:cs="宋体"/>
          <w:b/>
          <w:sz w:val="24"/>
        </w:rPr>
        <w:t>学制：</w:t>
      </w:r>
      <w:r>
        <w:rPr>
          <w:rFonts w:hint="eastAsia" w:ascii="宋体" w:hAnsi="宋体" w:cs="宋体"/>
          <w:b/>
          <w:bCs/>
          <w:sz w:val="24"/>
          <w:u w:val="single"/>
        </w:rPr>
        <w:t xml:space="preserve">四年 </w:t>
      </w:r>
      <w:r>
        <w:rPr>
          <w:rFonts w:hint="eastAsia" w:ascii="宋体" w:hAnsi="宋体" w:cs="宋体"/>
          <w:b/>
          <w:sz w:val="24"/>
        </w:rPr>
        <w:t xml:space="preserve">    </w:t>
      </w:r>
      <w:r>
        <w:rPr>
          <w:rFonts w:hint="eastAsia" w:ascii="宋体" w:hAnsi="宋体" w:cs="宋体"/>
          <w:b/>
          <w:sz w:val="24"/>
          <w:lang w:val="en-US" w:eastAsia="zh-CN"/>
        </w:rPr>
        <w:t xml:space="preserve">     </w:t>
      </w:r>
      <w:r>
        <w:rPr>
          <w:rFonts w:hint="eastAsia" w:ascii="宋体" w:hAnsi="宋体" w:cs="宋体"/>
          <w:b/>
          <w:sz w:val="24"/>
        </w:rPr>
        <w:t>制定日期：</w:t>
      </w:r>
      <w:r>
        <w:rPr>
          <w:rFonts w:hint="eastAsia" w:ascii="宋体" w:hAnsi="宋体" w:cs="宋体"/>
          <w:b/>
          <w:bCs/>
          <w:sz w:val="24"/>
          <w:u w:val="single"/>
        </w:rPr>
        <w:t>2019年5月</w:t>
      </w:r>
    </w:p>
    <w:bookmarkEnd w:id="0"/>
    <w:p>
      <w:pPr>
        <w:autoSpaceDE w:val="0"/>
        <w:autoSpaceDN w:val="0"/>
        <w:adjustRightInd w:val="0"/>
        <w:spacing w:line="320" w:lineRule="exact"/>
        <w:ind w:firstLine="629"/>
        <w:rPr>
          <w:rFonts w:ascii="宋体" w:hAnsi="宋体" w:cs="宋体"/>
          <w:b/>
          <w:bCs/>
          <w:szCs w:val="21"/>
        </w:rPr>
      </w:pPr>
    </w:p>
    <w:p>
      <w:pPr>
        <w:numPr>
          <w:ilvl w:val="0"/>
          <w:numId w:val="1"/>
        </w:numPr>
        <w:spacing w:line="400" w:lineRule="atLeast"/>
        <w:outlineLvl w:val="0"/>
        <w:rPr>
          <w:rFonts w:ascii="宋体" w:hAnsi="宋体" w:cs="宋体"/>
          <w:b/>
          <w:bCs/>
          <w:sz w:val="28"/>
          <w:szCs w:val="28"/>
        </w:rPr>
      </w:pPr>
      <w:r>
        <w:rPr>
          <w:rFonts w:hint="eastAsia" w:ascii="宋体" w:hAnsi="宋体" w:cs="宋体"/>
          <w:b/>
          <w:bCs/>
          <w:sz w:val="28"/>
          <w:szCs w:val="28"/>
        </w:rPr>
        <w:t>培养目标</w:t>
      </w:r>
    </w:p>
    <w:p>
      <w:pPr>
        <w:spacing w:beforeLines="50" w:afterLines="50" w:line="312" w:lineRule="auto"/>
        <w:ind w:firstLine="420"/>
        <w:rPr>
          <w:rFonts w:ascii="仿宋" w:hAnsi="仿宋" w:eastAsia="仿宋"/>
          <w:sz w:val="24"/>
        </w:rPr>
      </w:pPr>
      <w:r>
        <w:rPr>
          <w:rFonts w:hint="eastAsia" w:ascii="仿宋" w:hAnsi="仿宋" w:eastAsia="仿宋"/>
          <w:sz w:val="24"/>
        </w:rPr>
        <w:t>本专业贯彻德、智、体、美、劳全面发展的教育方针，以“注重素质、突出应用、强化实践、产学结合、培养能力”为指导思想，以人文素养与科学素养为基础、能力培养为核心，培养具有良好的职业道德、责任意识和创新意识，具有自然科学和化学、化学工程与技术及相关学科的基本理论和基本技能，具有较强的创新意识和实践能力，能在化工、能源、资源、冶金、材料、轻工、医药、食品、环保和军工等部门从事工程设计、技术开发、生产运行与技术管理、科学研究等工作的应用型高素质人才。</w:t>
      </w:r>
    </w:p>
    <w:p>
      <w:pPr>
        <w:numPr>
          <w:ilvl w:val="0"/>
          <w:numId w:val="1"/>
        </w:numPr>
        <w:spacing w:beforeLines="50" w:afterLines="50" w:line="312" w:lineRule="auto"/>
        <w:outlineLvl w:val="0"/>
        <w:rPr>
          <w:rFonts w:ascii="宋体" w:hAnsi="宋体" w:cs="宋体"/>
          <w:b/>
          <w:bCs/>
          <w:sz w:val="28"/>
          <w:szCs w:val="28"/>
        </w:rPr>
      </w:pPr>
      <w:r>
        <w:rPr>
          <w:rFonts w:hint="eastAsia" w:ascii="宋体" w:hAnsi="宋体" w:cs="宋体"/>
          <w:b/>
          <w:bCs/>
          <w:sz w:val="28"/>
          <w:szCs w:val="28"/>
        </w:rPr>
        <w:t>毕业要求</w:t>
      </w:r>
    </w:p>
    <w:p>
      <w:pPr>
        <w:spacing w:line="312" w:lineRule="auto"/>
        <w:ind w:firstLine="480" w:firstLineChars="200"/>
        <w:rPr>
          <w:rFonts w:ascii="仿宋_GB2312" w:eastAsia="仿宋_GB2312"/>
          <w:sz w:val="24"/>
        </w:rPr>
      </w:pPr>
      <w:r>
        <w:rPr>
          <w:rFonts w:hint="eastAsia" w:ascii="仿宋_GB2312" w:eastAsia="仿宋_GB2312"/>
          <w:sz w:val="24"/>
        </w:rPr>
        <w:t>本专业学生除了需完成通识教育课的修读，还要学习化学工程与工艺方面的基础理论和基本知识，接受化学与化工实验技能、工程实践、计算机应用、科学研究与工程设计方法的基本训练，具备能在化工、能源、资源、冶金、材料、轻工、医药、食品、环保和军工等部门从事工程设计、技术开发、生产运行与技术管理、科学研究等方面的工作能力，能从事本学科及相邻交叉学科的创新性工作。</w:t>
      </w:r>
    </w:p>
    <w:p>
      <w:pPr>
        <w:spacing w:line="312" w:lineRule="auto"/>
        <w:ind w:firstLine="480" w:firstLineChars="200"/>
        <w:rPr>
          <w:rFonts w:ascii="仿宋_GB2312" w:eastAsia="仿宋_GB2312"/>
          <w:sz w:val="24"/>
        </w:rPr>
      </w:pPr>
      <w:r>
        <w:rPr>
          <w:rFonts w:ascii="仿宋_GB2312" w:eastAsia="仿宋_GB2312"/>
          <w:sz w:val="24"/>
        </w:rPr>
        <w:t>毕业生应达到如下知识、能力与素质的基本要求：</w:t>
      </w:r>
    </w:p>
    <w:p>
      <w:pPr>
        <w:numPr>
          <w:ilvl w:val="0"/>
          <w:numId w:val="2"/>
        </w:numPr>
        <w:spacing w:line="312" w:lineRule="auto"/>
        <w:ind w:firstLine="480" w:firstLineChars="200"/>
        <w:rPr>
          <w:rFonts w:ascii="仿宋_GB2312" w:eastAsia="仿宋_GB2312"/>
          <w:sz w:val="24"/>
        </w:rPr>
      </w:pPr>
      <w:r>
        <w:rPr>
          <w:rFonts w:ascii="仿宋_GB2312" w:eastAsia="仿宋_GB2312"/>
          <w:sz w:val="24"/>
        </w:rPr>
        <w:t>工程知识：能够将数学、自然科学、工程基础和专业知识用于解决复杂工程问题。</w:t>
      </w:r>
    </w:p>
    <w:p>
      <w:pPr>
        <w:spacing w:line="312" w:lineRule="auto"/>
        <w:ind w:firstLine="480" w:firstLineChars="200"/>
        <w:rPr>
          <w:rFonts w:ascii="仿宋_GB2312" w:eastAsia="仿宋_GB2312"/>
          <w:sz w:val="24"/>
        </w:rPr>
      </w:pPr>
      <w:r>
        <w:rPr>
          <w:rFonts w:ascii="仿宋_GB2312" w:eastAsia="仿宋_GB2312"/>
          <w:sz w:val="24"/>
        </w:rPr>
        <w:t>1.1 掌握数学、自然科学和有关的专业软件的基本概念、基本理论和基本技能，能将其用于化学工程与工艺科学与技术领域复杂工程问题的分析与建模；</w:t>
      </w:r>
    </w:p>
    <w:p>
      <w:pPr>
        <w:spacing w:line="312" w:lineRule="auto"/>
        <w:ind w:firstLine="480" w:firstLineChars="200"/>
        <w:rPr>
          <w:rFonts w:ascii="仿宋_GB2312" w:eastAsia="仿宋_GB2312"/>
          <w:sz w:val="24"/>
        </w:rPr>
      </w:pPr>
      <w:r>
        <w:rPr>
          <w:rFonts w:ascii="仿宋_GB2312" w:eastAsia="仿宋_GB2312"/>
          <w:sz w:val="24"/>
        </w:rPr>
        <w:t>1.2 掌握工程基础知识，能够应用工程理念分析及解决化学工程与工艺科学与技术领域复杂工程问题；</w:t>
      </w:r>
    </w:p>
    <w:p>
      <w:pPr>
        <w:spacing w:line="312" w:lineRule="auto"/>
        <w:ind w:firstLine="480" w:firstLineChars="200"/>
        <w:rPr>
          <w:rFonts w:ascii="仿宋_GB2312" w:eastAsia="仿宋_GB2312"/>
          <w:sz w:val="24"/>
        </w:rPr>
      </w:pPr>
      <w:r>
        <w:rPr>
          <w:rFonts w:ascii="仿宋_GB2312" w:eastAsia="仿宋_GB2312"/>
          <w:sz w:val="24"/>
        </w:rPr>
        <w:t>1.3 掌握从事化学工程与工艺相关工作所需的基础化学理论与化工工艺开发知识，能够将其用于化合物以及化工工艺的研发、设计和维护；</w:t>
      </w:r>
    </w:p>
    <w:p>
      <w:pPr>
        <w:spacing w:line="312" w:lineRule="auto"/>
        <w:ind w:firstLine="480" w:firstLineChars="200"/>
        <w:rPr>
          <w:rFonts w:ascii="仿宋_GB2312" w:eastAsia="仿宋_GB2312"/>
          <w:sz w:val="24"/>
        </w:rPr>
      </w:pPr>
      <w:r>
        <w:rPr>
          <w:rFonts w:ascii="仿宋_GB2312" w:eastAsia="仿宋_GB2312"/>
          <w:sz w:val="24"/>
        </w:rPr>
        <w:t xml:space="preserve">1.4 掌握从事化工工艺相关工作所需的基础设备的理论知识，能够将其用于化工设备的研发、设计和维护。 </w:t>
      </w:r>
    </w:p>
    <w:p>
      <w:pPr>
        <w:spacing w:line="312" w:lineRule="auto"/>
        <w:ind w:firstLine="480" w:firstLineChars="200"/>
        <w:rPr>
          <w:rFonts w:ascii="仿宋_GB2312" w:eastAsia="仿宋_GB2312"/>
          <w:sz w:val="24"/>
        </w:rPr>
      </w:pPr>
      <w:r>
        <w:rPr>
          <w:rFonts w:ascii="仿宋_GB2312" w:eastAsia="仿宋_GB2312"/>
          <w:sz w:val="24"/>
        </w:rPr>
        <w:t>2.问题分析：能够应用数学、自然科学和工程科学的基本原理，识别、表达、并通过文献研究分析复杂工程问题，以获得有效结论。</w:t>
      </w:r>
    </w:p>
    <w:p>
      <w:pPr>
        <w:spacing w:line="312" w:lineRule="auto"/>
        <w:ind w:firstLine="480" w:firstLineChars="200"/>
        <w:rPr>
          <w:rFonts w:ascii="仿宋_GB2312" w:eastAsia="仿宋_GB2312"/>
          <w:sz w:val="24"/>
        </w:rPr>
      </w:pPr>
      <w:r>
        <w:rPr>
          <w:rFonts w:ascii="仿宋_GB2312" w:eastAsia="仿宋_GB2312"/>
          <w:sz w:val="24"/>
        </w:rPr>
        <w:t>2.1 掌握文献检索、资料查询的基本方法，能够运用现代技术获取相关文献，具有资料阅读和文献研究能力，并用于化学工程与工艺领域复杂工程问题的分析和推理；</w:t>
      </w:r>
    </w:p>
    <w:p>
      <w:pPr>
        <w:spacing w:line="312" w:lineRule="auto"/>
        <w:ind w:firstLine="480" w:firstLineChars="200"/>
        <w:rPr>
          <w:rFonts w:ascii="仿宋_GB2312" w:eastAsia="仿宋_GB2312"/>
          <w:sz w:val="24"/>
        </w:rPr>
      </w:pPr>
      <w:r>
        <w:rPr>
          <w:rFonts w:ascii="仿宋_GB2312" w:eastAsia="仿宋_GB2312"/>
          <w:sz w:val="24"/>
        </w:rPr>
        <w:t>2.2 能够识别复杂工程问题中所涉及的数学、自然科学、工程科学、以及仪器设备和仪表相关的知识；</w:t>
      </w:r>
    </w:p>
    <w:p>
      <w:pPr>
        <w:spacing w:line="312" w:lineRule="auto"/>
        <w:ind w:firstLine="480" w:firstLineChars="200"/>
        <w:rPr>
          <w:rFonts w:ascii="仿宋_GB2312" w:eastAsia="仿宋_GB2312"/>
          <w:sz w:val="24"/>
        </w:rPr>
      </w:pPr>
      <w:r>
        <w:rPr>
          <w:rFonts w:ascii="仿宋_GB2312" w:eastAsia="仿宋_GB2312"/>
          <w:sz w:val="24"/>
        </w:rPr>
        <w:t>2.3 能够应用数学、自然科学、工程科学和化学工程与工艺专业知识，对化学化工领域复杂工程问题进行提炼、定义、建模和评价。</w:t>
      </w:r>
    </w:p>
    <w:p>
      <w:pPr>
        <w:spacing w:line="312" w:lineRule="auto"/>
        <w:ind w:firstLine="480" w:firstLineChars="200"/>
        <w:rPr>
          <w:rFonts w:ascii="仿宋_GB2312" w:eastAsia="仿宋_GB2312"/>
          <w:sz w:val="24"/>
        </w:rPr>
      </w:pPr>
      <w:r>
        <w:rPr>
          <w:rFonts w:ascii="仿宋_GB2312" w:eastAsia="仿宋_GB2312"/>
          <w:sz w:val="24"/>
        </w:rPr>
        <w:t>3.设计/开发解决方案：能够设计针对复杂工程问题的解决方案，设计满足特定需求的系统、单元（部件）或工艺流程，并能够在设计环节中体现创新意识，考虑社会、健康、安全、法律、文化以及环境等因素。</w:t>
      </w:r>
    </w:p>
    <w:p>
      <w:pPr>
        <w:spacing w:line="312" w:lineRule="auto"/>
        <w:ind w:firstLine="480" w:firstLineChars="200"/>
        <w:rPr>
          <w:rFonts w:ascii="仿宋_GB2312" w:eastAsia="仿宋_GB2312"/>
          <w:sz w:val="24"/>
        </w:rPr>
      </w:pPr>
      <w:r>
        <w:rPr>
          <w:rFonts w:ascii="仿宋_GB2312" w:eastAsia="仿宋_GB2312"/>
          <w:sz w:val="24"/>
        </w:rPr>
        <w:t>3.1 掌握基础化学理论和实践知识与技能，能够设计/开发化合物合成路径的解决方案，体现创新意识；</w:t>
      </w:r>
    </w:p>
    <w:p>
      <w:pPr>
        <w:spacing w:line="312" w:lineRule="auto"/>
        <w:ind w:firstLine="480" w:firstLineChars="200"/>
        <w:rPr>
          <w:rFonts w:ascii="仿宋_GB2312" w:eastAsia="仿宋_GB2312"/>
          <w:sz w:val="24"/>
        </w:rPr>
      </w:pPr>
      <w:r>
        <w:rPr>
          <w:rFonts w:ascii="仿宋_GB2312" w:eastAsia="仿宋_GB2312"/>
          <w:sz w:val="24"/>
        </w:rPr>
        <w:t>3.2 掌握化工原理、新材料、化工模拟计算等基础知识，能够设计/开发特定化工工艺的解决方案，体现创新意识；</w:t>
      </w:r>
    </w:p>
    <w:p>
      <w:pPr>
        <w:spacing w:line="312" w:lineRule="auto"/>
        <w:ind w:firstLine="480" w:firstLineChars="200"/>
        <w:rPr>
          <w:rFonts w:ascii="仿宋_GB2312" w:eastAsia="仿宋_GB2312"/>
          <w:sz w:val="24"/>
        </w:rPr>
      </w:pPr>
      <w:r>
        <w:rPr>
          <w:rFonts w:ascii="仿宋_GB2312" w:eastAsia="仿宋_GB2312"/>
          <w:sz w:val="24"/>
        </w:rPr>
        <w:t>3.3 能够在社会、健康、安全、法律、文化以及环境等现实约束条件下通过技术、经济评价等论证设计方案的可行性。</w:t>
      </w:r>
    </w:p>
    <w:p>
      <w:pPr>
        <w:spacing w:line="312" w:lineRule="auto"/>
        <w:ind w:firstLine="480" w:firstLineChars="200"/>
        <w:rPr>
          <w:rFonts w:ascii="仿宋_GB2312" w:eastAsia="仿宋_GB2312"/>
          <w:sz w:val="24"/>
        </w:rPr>
      </w:pPr>
      <w:r>
        <w:rPr>
          <w:rFonts w:ascii="仿宋_GB2312" w:eastAsia="仿宋_GB2312"/>
          <w:sz w:val="24"/>
        </w:rPr>
        <w:t>4.研究：能够基于科学原理并采用科学方法对复杂工程问题进行研究，包括设计实验、分析与解释数据、并通过信息综合得到合理有效的结论。</w:t>
      </w:r>
    </w:p>
    <w:p>
      <w:pPr>
        <w:spacing w:line="312" w:lineRule="auto"/>
        <w:ind w:firstLine="480" w:firstLineChars="200"/>
        <w:rPr>
          <w:rFonts w:ascii="仿宋_GB2312" w:eastAsia="仿宋_GB2312"/>
          <w:sz w:val="24"/>
        </w:rPr>
      </w:pPr>
      <w:r>
        <w:rPr>
          <w:rFonts w:ascii="仿宋_GB2312" w:eastAsia="仿宋_GB2312"/>
          <w:sz w:val="24"/>
        </w:rPr>
        <w:t>4.1 能够根据实际需求，运用所学科学原理，给出相关问题的研究方案和目标；</w:t>
      </w:r>
    </w:p>
    <w:p>
      <w:pPr>
        <w:spacing w:line="312" w:lineRule="auto"/>
        <w:ind w:firstLine="480" w:firstLineChars="200"/>
        <w:rPr>
          <w:rFonts w:ascii="仿宋_GB2312" w:eastAsia="仿宋_GB2312"/>
          <w:sz w:val="24"/>
        </w:rPr>
      </w:pPr>
      <w:r>
        <w:rPr>
          <w:rFonts w:ascii="仿宋_GB2312" w:eastAsia="仿宋_GB2312"/>
          <w:sz w:val="24"/>
        </w:rPr>
        <w:t>4.2 能够根据研究方案和目标，设计实验，以及在实际实验或者专业软件模拟环境下完成实验，并正确采集、整理实验数据；</w:t>
      </w:r>
    </w:p>
    <w:p>
      <w:pPr>
        <w:spacing w:line="312" w:lineRule="auto"/>
        <w:ind w:firstLine="480" w:firstLineChars="200"/>
        <w:rPr>
          <w:rFonts w:ascii="仿宋_GB2312" w:eastAsia="仿宋_GB2312"/>
          <w:sz w:val="24"/>
        </w:rPr>
      </w:pPr>
      <w:r>
        <w:rPr>
          <w:rFonts w:ascii="仿宋_GB2312" w:eastAsia="仿宋_GB2312"/>
          <w:sz w:val="24"/>
        </w:rPr>
        <w:t>4.3 能够从理论上对实验结果进行分析和归纳，得到合理有效的结论。</w:t>
      </w:r>
    </w:p>
    <w:p>
      <w:pPr>
        <w:spacing w:line="312" w:lineRule="auto"/>
        <w:ind w:firstLine="480" w:firstLineChars="200"/>
        <w:rPr>
          <w:rFonts w:ascii="仿宋_GB2312" w:eastAsia="仿宋_GB2312"/>
          <w:sz w:val="24"/>
        </w:rPr>
      </w:pPr>
      <w:r>
        <w:rPr>
          <w:rFonts w:ascii="仿宋_GB2312" w:eastAsia="仿宋_GB2312"/>
          <w:sz w:val="24"/>
        </w:rPr>
        <w:t>5.使用现代工具：能够针对复杂工程问题，开发、选择与使用恰当的技术、资源、现代工程工具和信息技术工具，包括对复杂工程问题的预测与模拟，并能够理解其局限性。</w:t>
      </w:r>
    </w:p>
    <w:p>
      <w:pPr>
        <w:spacing w:line="312" w:lineRule="auto"/>
        <w:ind w:firstLine="480" w:firstLineChars="200"/>
        <w:rPr>
          <w:rFonts w:ascii="仿宋_GB2312" w:eastAsia="仿宋_GB2312"/>
          <w:sz w:val="24"/>
        </w:rPr>
      </w:pPr>
      <w:r>
        <w:rPr>
          <w:rFonts w:ascii="仿宋_GB2312" w:eastAsia="仿宋_GB2312"/>
          <w:sz w:val="24"/>
        </w:rPr>
        <w:t>5.1 能够使用专业数据库、互联网等现代信息工具查询、检索化学工程与工艺专业的文献及资料；</w:t>
      </w:r>
    </w:p>
    <w:p>
      <w:pPr>
        <w:spacing w:line="312" w:lineRule="auto"/>
        <w:ind w:firstLine="480" w:firstLineChars="200"/>
        <w:rPr>
          <w:rFonts w:ascii="仿宋_GB2312" w:eastAsia="仿宋_GB2312"/>
          <w:sz w:val="24"/>
        </w:rPr>
      </w:pPr>
      <w:r>
        <w:rPr>
          <w:rFonts w:ascii="仿宋_GB2312" w:eastAsia="仿宋_GB2312"/>
          <w:sz w:val="24"/>
        </w:rPr>
        <w:t>5.2 能够使用基础化学化工设备、中小型中试设备，以及相关专业模拟软件对化学工程与工艺领域复杂工程问题进行分析、设计或仿真模拟；</w:t>
      </w:r>
    </w:p>
    <w:p>
      <w:pPr>
        <w:spacing w:line="312" w:lineRule="auto"/>
        <w:ind w:firstLine="480" w:firstLineChars="200"/>
        <w:rPr>
          <w:rFonts w:ascii="仿宋_GB2312" w:eastAsia="仿宋_GB2312"/>
          <w:sz w:val="24"/>
        </w:rPr>
      </w:pPr>
      <w:r>
        <w:rPr>
          <w:rFonts w:ascii="仿宋_GB2312" w:eastAsia="仿宋_GB2312"/>
          <w:sz w:val="24"/>
        </w:rPr>
        <w:t>5.3 能够理解化学化工制备、测试的相关仪器设备在解决化学工程与工艺领域的复杂工程问题时的优势和局限性。</w:t>
      </w:r>
    </w:p>
    <w:p>
      <w:pPr>
        <w:spacing w:line="312" w:lineRule="auto"/>
        <w:ind w:firstLine="480" w:firstLineChars="200"/>
        <w:rPr>
          <w:rFonts w:ascii="仿宋_GB2312" w:eastAsia="仿宋_GB2312"/>
          <w:sz w:val="24"/>
        </w:rPr>
      </w:pPr>
      <w:r>
        <w:rPr>
          <w:rFonts w:ascii="仿宋_GB2312" w:eastAsia="仿宋_GB2312"/>
          <w:sz w:val="24"/>
        </w:rPr>
        <w:t>6.工程与社会：能够基于工程相关背景知识进行合理分析，评价专业工程实践和复杂工程问题解决方案对社会、健康、安全、法律以及文化的影响，并理解应承担的责任。</w:t>
      </w:r>
    </w:p>
    <w:p>
      <w:pPr>
        <w:spacing w:line="312" w:lineRule="auto"/>
        <w:ind w:firstLine="480" w:firstLineChars="200"/>
        <w:rPr>
          <w:rFonts w:ascii="仿宋_GB2312" w:eastAsia="仿宋_GB2312"/>
          <w:sz w:val="24"/>
        </w:rPr>
      </w:pPr>
      <w:r>
        <w:rPr>
          <w:rFonts w:ascii="仿宋_GB2312" w:eastAsia="仿宋_GB2312"/>
          <w:sz w:val="24"/>
        </w:rPr>
        <w:t>6.1 了解化学化工行业的法规、基本政策及相关法律知识，熟悉各种工程设备、设施在不同使用环境下的使用特点；</w:t>
      </w:r>
    </w:p>
    <w:p>
      <w:pPr>
        <w:spacing w:line="312" w:lineRule="auto"/>
        <w:ind w:firstLine="480" w:firstLineChars="200"/>
        <w:rPr>
          <w:rFonts w:ascii="仿宋_GB2312" w:eastAsia="仿宋_GB2312"/>
          <w:sz w:val="24"/>
        </w:rPr>
      </w:pPr>
      <w:r>
        <w:rPr>
          <w:rFonts w:ascii="仿宋_GB2312" w:eastAsia="仿宋_GB2312"/>
          <w:sz w:val="24"/>
        </w:rPr>
        <w:t>6.2 了解化学化工技术的发展历程，关注最新的技术和方法；</w:t>
      </w:r>
    </w:p>
    <w:p>
      <w:pPr>
        <w:spacing w:line="312" w:lineRule="auto"/>
        <w:ind w:firstLine="480" w:firstLineChars="200"/>
        <w:rPr>
          <w:rFonts w:ascii="仿宋_GB2312" w:eastAsia="仿宋_GB2312"/>
          <w:sz w:val="24"/>
        </w:rPr>
      </w:pPr>
      <w:r>
        <w:rPr>
          <w:rFonts w:ascii="仿宋_GB2312" w:eastAsia="仿宋_GB2312"/>
          <w:sz w:val="24"/>
        </w:rPr>
        <w:t>6.3 能在社会、健康、安全、法律以及文化框架内开展相关基础化工项目，并理解化工工程在分析、设计、开发和维护过程中应承担的责任。</w:t>
      </w:r>
    </w:p>
    <w:p>
      <w:pPr>
        <w:spacing w:line="312" w:lineRule="auto"/>
        <w:ind w:firstLine="480" w:firstLineChars="200"/>
        <w:rPr>
          <w:rFonts w:ascii="仿宋_GB2312" w:eastAsia="仿宋_GB2312"/>
          <w:sz w:val="24"/>
        </w:rPr>
      </w:pPr>
      <w:r>
        <w:rPr>
          <w:rFonts w:ascii="仿宋_GB2312" w:eastAsia="仿宋_GB2312"/>
          <w:sz w:val="24"/>
        </w:rPr>
        <w:t>7.环境和可持续发展：能够理解和评价针对复杂工程问题的专业工程实践对环境、社会可持续发展的影响。</w:t>
      </w:r>
    </w:p>
    <w:p>
      <w:pPr>
        <w:spacing w:line="312" w:lineRule="auto"/>
        <w:ind w:firstLine="480" w:firstLineChars="200"/>
        <w:rPr>
          <w:rFonts w:ascii="仿宋_GB2312" w:eastAsia="仿宋_GB2312"/>
          <w:sz w:val="24"/>
        </w:rPr>
      </w:pPr>
      <w:r>
        <w:rPr>
          <w:rFonts w:ascii="仿宋_GB2312" w:eastAsia="仿宋_GB2312"/>
          <w:sz w:val="24"/>
        </w:rPr>
        <w:t>7.1 树立绿色化学化工的发展理念，了解国家环境保护相关政策法规，理解社会可持续发展的重要性；</w:t>
      </w:r>
    </w:p>
    <w:p>
      <w:pPr>
        <w:spacing w:line="312" w:lineRule="auto"/>
        <w:ind w:firstLine="480" w:firstLineChars="200"/>
        <w:rPr>
          <w:rFonts w:ascii="仿宋_GB2312" w:eastAsia="仿宋_GB2312"/>
          <w:sz w:val="24"/>
        </w:rPr>
      </w:pPr>
      <w:r>
        <w:rPr>
          <w:rFonts w:ascii="仿宋_GB2312" w:eastAsia="仿宋_GB2312"/>
          <w:sz w:val="24"/>
        </w:rPr>
        <w:t>7.2 能够对化学工程与工艺领域复杂工程问题的工程实践对环境、社会可持续发展的影响进行合理评价；</w:t>
      </w:r>
    </w:p>
    <w:p>
      <w:pPr>
        <w:spacing w:line="312" w:lineRule="auto"/>
        <w:ind w:firstLine="480" w:firstLineChars="200"/>
        <w:rPr>
          <w:rFonts w:ascii="仿宋_GB2312" w:eastAsia="仿宋_GB2312"/>
          <w:sz w:val="24"/>
        </w:rPr>
      </w:pPr>
      <w:r>
        <w:rPr>
          <w:rFonts w:ascii="仿宋_GB2312" w:eastAsia="仿宋_GB2312"/>
          <w:sz w:val="24"/>
        </w:rPr>
        <w:t>7.3 能够在化学工程与工艺领域复杂工程实践中合理利用相关技术，发挥对环境、社会可持续发展的积极作用，降低负面影响。</w:t>
      </w:r>
    </w:p>
    <w:p>
      <w:pPr>
        <w:spacing w:line="312" w:lineRule="auto"/>
        <w:ind w:firstLine="480" w:firstLineChars="200"/>
        <w:rPr>
          <w:rFonts w:ascii="仿宋_GB2312" w:eastAsia="仿宋_GB2312"/>
          <w:sz w:val="24"/>
        </w:rPr>
      </w:pPr>
      <w:r>
        <w:rPr>
          <w:rFonts w:ascii="仿宋_GB2312" w:eastAsia="仿宋_GB2312"/>
          <w:sz w:val="24"/>
        </w:rPr>
        <w:t>8.职业规范：具有人文社会科学素养、社会责任感，能够在工程实践中理解并遵守工程职业道德和规范，履行责任。</w:t>
      </w:r>
    </w:p>
    <w:p>
      <w:pPr>
        <w:spacing w:line="312" w:lineRule="auto"/>
        <w:ind w:firstLine="480" w:firstLineChars="200"/>
        <w:rPr>
          <w:rFonts w:ascii="仿宋_GB2312" w:eastAsia="仿宋_GB2312"/>
          <w:sz w:val="24"/>
        </w:rPr>
      </w:pPr>
      <w:r>
        <w:rPr>
          <w:rFonts w:ascii="仿宋_GB2312" w:eastAsia="仿宋_GB2312"/>
          <w:sz w:val="24"/>
        </w:rPr>
        <w:t>8.1 树立正确的人生观、价值观和世界观，具有良好的人文社会科学素养；</w:t>
      </w:r>
    </w:p>
    <w:p>
      <w:pPr>
        <w:spacing w:line="312" w:lineRule="auto"/>
        <w:ind w:firstLine="480" w:firstLineChars="200"/>
        <w:rPr>
          <w:rFonts w:ascii="仿宋_GB2312" w:eastAsia="仿宋_GB2312"/>
          <w:sz w:val="24"/>
        </w:rPr>
      </w:pPr>
      <w:r>
        <w:rPr>
          <w:rFonts w:ascii="仿宋_GB2312" w:eastAsia="仿宋_GB2312"/>
          <w:sz w:val="24"/>
        </w:rPr>
        <w:t>8.2 拥有健康的体质、良好的心理素质和社会责任感；</w:t>
      </w:r>
    </w:p>
    <w:p>
      <w:pPr>
        <w:spacing w:line="312" w:lineRule="auto"/>
        <w:ind w:firstLine="480" w:firstLineChars="200"/>
        <w:rPr>
          <w:rFonts w:ascii="仿宋_GB2312" w:eastAsia="仿宋_GB2312"/>
          <w:sz w:val="24"/>
        </w:rPr>
      </w:pPr>
      <w:r>
        <w:rPr>
          <w:rFonts w:ascii="仿宋_GB2312" w:eastAsia="仿宋_GB2312"/>
          <w:sz w:val="24"/>
        </w:rPr>
        <w:t>8.3 能够在化学工程与工艺领域和行业的实践中理解并遵守工程职业道德和规范，履行责任。 </w:t>
      </w:r>
    </w:p>
    <w:p>
      <w:pPr>
        <w:spacing w:line="312" w:lineRule="auto"/>
        <w:ind w:firstLine="480" w:firstLineChars="200"/>
        <w:rPr>
          <w:rFonts w:ascii="仿宋_GB2312" w:eastAsia="仿宋_GB2312"/>
          <w:sz w:val="24"/>
        </w:rPr>
      </w:pPr>
      <w:r>
        <w:rPr>
          <w:rFonts w:ascii="仿宋_GB2312" w:eastAsia="仿宋_GB2312"/>
          <w:sz w:val="24"/>
        </w:rPr>
        <w:t>9.个人和团队：能够在多学科背景下的团队中承担个体、团队成员以及负责人的角色。</w:t>
      </w:r>
    </w:p>
    <w:p>
      <w:pPr>
        <w:spacing w:line="312" w:lineRule="auto"/>
        <w:ind w:firstLine="480" w:firstLineChars="200"/>
        <w:rPr>
          <w:rFonts w:ascii="仿宋_GB2312" w:eastAsia="仿宋_GB2312"/>
          <w:sz w:val="24"/>
        </w:rPr>
      </w:pPr>
      <w:r>
        <w:rPr>
          <w:rFonts w:ascii="仿宋_GB2312" w:eastAsia="仿宋_GB2312"/>
          <w:sz w:val="24"/>
        </w:rPr>
        <w:t>9.1 能够在多学科背景下理解团队的意义，了解不同成员的学科背景在完成化工工艺项目中的角色；</w:t>
      </w:r>
    </w:p>
    <w:p>
      <w:pPr>
        <w:spacing w:line="312" w:lineRule="auto"/>
        <w:ind w:firstLine="480" w:firstLineChars="200"/>
        <w:rPr>
          <w:rFonts w:ascii="仿宋_GB2312" w:eastAsia="仿宋_GB2312"/>
          <w:sz w:val="24"/>
        </w:rPr>
      </w:pPr>
      <w:r>
        <w:rPr>
          <w:rFonts w:ascii="仿宋_GB2312" w:eastAsia="仿宋_GB2312"/>
          <w:sz w:val="24"/>
        </w:rPr>
        <w:t>9.2 能够在多学科背景下主动与其他成员沟通、合作、开展工作；</w:t>
      </w:r>
    </w:p>
    <w:p>
      <w:pPr>
        <w:spacing w:line="312" w:lineRule="auto"/>
        <w:ind w:firstLine="480" w:firstLineChars="200"/>
        <w:rPr>
          <w:rFonts w:ascii="仿宋_GB2312" w:eastAsia="仿宋_GB2312"/>
          <w:sz w:val="24"/>
        </w:rPr>
      </w:pPr>
      <w:r>
        <w:rPr>
          <w:rFonts w:ascii="仿宋_GB2312" w:eastAsia="仿宋_GB2312"/>
          <w:sz w:val="24"/>
        </w:rPr>
        <w:t>9.3 能够在团队中承担个体、团队成员以及负责人的角色。</w:t>
      </w:r>
    </w:p>
    <w:p>
      <w:pPr>
        <w:spacing w:line="312" w:lineRule="auto"/>
        <w:ind w:firstLine="480" w:firstLineChars="200"/>
        <w:rPr>
          <w:rFonts w:ascii="仿宋_GB2312" w:eastAsia="仿宋_GB2312"/>
          <w:sz w:val="24"/>
        </w:rPr>
      </w:pPr>
      <w:r>
        <w:rPr>
          <w:rFonts w:ascii="仿宋_GB2312" w:eastAsia="仿宋_GB2312"/>
          <w:sz w:val="24"/>
        </w:rPr>
        <w:t>10.沟通：能够就复杂工程问题与业界同行及社会公众进行有效沟通和交流，包括撰写报告和设计文稿、陈述发言、清晰表达或回应指令。并具备一定的国际视野，能够在跨文化背景下进行沟通和交流。</w:t>
      </w:r>
    </w:p>
    <w:p>
      <w:pPr>
        <w:spacing w:line="312" w:lineRule="auto"/>
        <w:ind w:firstLine="480" w:firstLineChars="200"/>
        <w:rPr>
          <w:rFonts w:ascii="仿宋_GB2312" w:eastAsia="仿宋_GB2312"/>
          <w:sz w:val="24"/>
        </w:rPr>
      </w:pPr>
      <w:r>
        <w:rPr>
          <w:rFonts w:ascii="仿宋_GB2312" w:eastAsia="仿宋_GB2312"/>
          <w:sz w:val="24"/>
        </w:rPr>
        <w:t>10.1 具有良好的书面及口头表达能力，能够熟练运用母语及化学化工工程技术语言针对化学工程与工艺领域的复杂工程问题进行描述、表达，并能够与业界同行及社会公众进行交流；</w:t>
      </w:r>
    </w:p>
    <w:p>
      <w:pPr>
        <w:spacing w:line="312" w:lineRule="auto"/>
        <w:ind w:firstLine="480" w:firstLineChars="200"/>
        <w:rPr>
          <w:rFonts w:ascii="仿宋_GB2312" w:eastAsia="仿宋_GB2312"/>
          <w:sz w:val="24"/>
        </w:rPr>
      </w:pPr>
      <w:r>
        <w:rPr>
          <w:rFonts w:ascii="仿宋_GB2312" w:eastAsia="仿宋_GB2312"/>
          <w:sz w:val="24"/>
        </w:rPr>
        <w:t>10.2 了解化学工程与工艺及相关专业科技文档的基本构成以及要求，具备科技文档的写作能力和科技演讲的基本技能；</w:t>
      </w:r>
    </w:p>
    <w:p>
      <w:pPr>
        <w:spacing w:line="312" w:lineRule="auto"/>
        <w:ind w:firstLine="480" w:firstLineChars="200"/>
        <w:rPr>
          <w:rFonts w:ascii="仿宋_GB2312" w:eastAsia="仿宋_GB2312"/>
          <w:sz w:val="24"/>
        </w:rPr>
      </w:pPr>
      <w:r>
        <w:rPr>
          <w:rFonts w:ascii="仿宋_GB2312" w:eastAsia="仿宋_GB2312"/>
          <w:sz w:val="24"/>
        </w:rPr>
        <w:t>10.3 具有良好的外语听说读写能力，能够阅读专业相关的外文文献，具备一定的国际视野，能够进行跨文化沟通和交流。</w:t>
      </w:r>
    </w:p>
    <w:p>
      <w:pPr>
        <w:spacing w:line="312" w:lineRule="auto"/>
        <w:ind w:firstLine="480" w:firstLineChars="200"/>
        <w:rPr>
          <w:rFonts w:ascii="仿宋_GB2312" w:eastAsia="仿宋_GB2312"/>
          <w:sz w:val="24"/>
        </w:rPr>
      </w:pPr>
      <w:r>
        <w:rPr>
          <w:rFonts w:ascii="仿宋_GB2312" w:eastAsia="仿宋_GB2312"/>
          <w:sz w:val="24"/>
        </w:rPr>
        <w:t>11.项目管理：理解并掌握工程管理原理与经济决策方法，并能在多学科环境中应用。</w:t>
      </w:r>
    </w:p>
    <w:p>
      <w:pPr>
        <w:spacing w:line="312" w:lineRule="auto"/>
        <w:ind w:firstLine="480" w:firstLineChars="200"/>
        <w:rPr>
          <w:rFonts w:ascii="仿宋_GB2312" w:eastAsia="仿宋_GB2312"/>
          <w:sz w:val="24"/>
        </w:rPr>
      </w:pPr>
      <w:r>
        <w:rPr>
          <w:rFonts w:ascii="仿宋_GB2312" w:eastAsia="仿宋_GB2312"/>
          <w:sz w:val="24"/>
        </w:rPr>
        <w:t>11.1 理解从事化学工程与工艺领域复杂工程实践活动所需的经济与管理因素，掌握工程管理原理与经济决策方法；</w:t>
      </w:r>
    </w:p>
    <w:p>
      <w:pPr>
        <w:spacing w:line="312" w:lineRule="auto"/>
        <w:ind w:firstLine="480" w:firstLineChars="200"/>
        <w:rPr>
          <w:rFonts w:ascii="仿宋_GB2312" w:eastAsia="仿宋_GB2312"/>
          <w:sz w:val="24"/>
        </w:rPr>
      </w:pPr>
      <w:r>
        <w:rPr>
          <w:rFonts w:ascii="仿宋_GB2312" w:eastAsia="仿宋_GB2312"/>
          <w:sz w:val="24"/>
        </w:rPr>
        <w:t>11.2 能够在多学科环境中根据化学工程与工艺领域复杂工程项目特征选择恰当的项目管理方法和经济决策方法；</w:t>
      </w:r>
    </w:p>
    <w:p>
      <w:pPr>
        <w:spacing w:line="312" w:lineRule="auto"/>
        <w:ind w:firstLine="480" w:firstLineChars="200"/>
        <w:rPr>
          <w:rFonts w:ascii="仿宋_GB2312" w:eastAsia="仿宋_GB2312"/>
          <w:sz w:val="24"/>
        </w:rPr>
      </w:pPr>
      <w:r>
        <w:rPr>
          <w:rFonts w:ascii="仿宋_GB2312" w:eastAsia="仿宋_GB2312"/>
          <w:sz w:val="24"/>
        </w:rPr>
        <w:t>11.3 具备对化学工程与工艺领域复杂工程项目进行项目管理的能力并进行实践。</w:t>
      </w:r>
    </w:p>
    <w:p>
      <w:pPr>
        <w:spacing w:line="312" w:lineRule="auto"/>
        <w:ind w:firstLine="480" w:firstLineChars="200"/>
        <w:rPr>
          <w:rFonts w:ascii="仿宋_GB2312" w:eastAsia="仿宋_GB2312"/>
          <w:sz w:val="24"/>
        </w:rPr>
      </w:pPr>
      <w:r>
        <w:rPr>
          <w:rFonts w:ascii="仿宋_GB2312" w:eastAsia="仿宋_GB2312"/>
          <w:sz w:val="24"/>
        </w:rPr>
        <w:t>12.终身学习：具有自主学习和终身学习的意识，有不断学习和适应发展的能力。</w:t>
      </w:r>
    </w:p>
    <w:p>
      <w:pPr>
        <w:spacing w:line="312" w:lineRule="auto"/>
        <w:ind w:firstLine="480" w:firstLineChars="200"/>
        <w:rPr>
          <w:rFonts w:ascii="仿宋_GB2312" w:eastAsia="仿宋_GB2312"/>
          <w:sz w:val="24"/>
        </w:rPr>
      </w:pPr>
      <w:r>
        <w:rPr>
          <w:rFonts w:ascii="仿宋_GB2312" w:eastAsia="仿宋_GB2312"/>
          <w:sz w:val="24"/>
        </w:rPr>
        <w:t>12.1 具有自主学习和终身学习的意识，能认识不断探索和学习的必要性；</w:t>
      </w:r>
    </w:p>
    <w:p>
      <w:pPr>
        <w:spacing w:line="312" w:lineRule="auto"/>
        <w:ind w:firstLine="480" w:firstLineChars="200"/>
        <w:rPr>
          <w:rFonts w:ascii="仿宋_GB2312" w:eastAsia="仿宋_GB2312"/>
          <w:sz w:val="24"/>
        </w:rPr>
      </w:pPr>
      <w:r>
        <w:rPr>
          <w:rFonts w:ascii="仿宋_GB2312" w:eastAsia="仿宋_GB2312"/>
          <w:sz w:val="24"/>
        </w:rPr>
        <w:t>12.2 掌握自主学习的方法，合理运用化学化工专业数据库、专业软件等资源进行学习和提高，拓展行业领域内的知识和能力；</w:t>
      </w:r>
    </w:p>
    <w:p>
      <w:pPr>
        <w:spacing w:line="312" w:lineRule="auto"/>
        <w:ind w:firstLine="480" w:firstLineChars="200"/>
        <w:rPr>
          <w:rFonts w:ascii="仿宋_GB2312" w:eastAsia="仿宋_GB2312"/>
          <w:sz w:val="24"/>
        </w:rPr>
      </w:pPr>
      <w:r>
        <w:rPr>
          <w:rFonts w:ascii="仿宋_GB2312" w:eastAsia="仿宋_GB2312"/>
          <w:sz w:val="24"/>
        </w:rPr>
        <w:t>12.3 针对个人和职业的发展需求，追踪化学化工科学与技术相关领域的发展动态，不断更新知识和技能。</w:t>
      </w:r>
    </w:p>
    <w:p>
      <w:pPr>
        <w:numPr>
          <w:ilvl w:val="0"/>
          <w:numId w:val="1"/>
        </w:numPr>
        <w:spacing w:beforeLines="50" w:afterLines="50" w:line="312" w:lineRule="auto"/>
        <w:outlineLvl w:val="0"/>
        <w:rPr>
          <w:rFonts w:ascii="宋体" w:hAnsi="宋体" w:cs="宋体"/>
          <w:b/>
          <w:bCs/>
          <w:sz w:val="28"/>
          <w:szCs w:val="28"/>
        </w:rPr>
      </w:pPr>
      <w:r>
        <w:rPr>
          <w:rFonts w:hint="eastAsia" w:ascii="宋体" w:hAnsi="宋体" w:cs="宋体"/>
          <w:b/>
          <w:bCs/>
          <w:sz w:val="28"/>
          <w:szCs w:val="28"/>
        </w:rPr>
        <w:t>专业核心课程</w:t>
      </w:r>
    </w:p>
    <w:p>
      <w:pPr>
        <w:spacing w:beforeLines="50" w:afterLines="50" w:line="312" w:lineRule="auto"/>
        <w:ind w:firstLine="480" w:firstLineChars="200"/>
        <w:rPr>
          <w:rFonts w:ascii="仿宋_GB2312" w:eastAsia="仿宋_GB2312"/>
          <w:sz w:val="24"/>
        </w:rPr>
      </w:pPr>
      <w:r>
        <w:rPr>
          <w:rFonts w:hint="eastAsia" w:ascii="仿宋_GB2312" w:eastAsia="仿宋_GB2312"/>
          <w:sz w:val="24"/>
        </w:rPr>
        <w:t>无机及分析化学、有机化学、物理化学、仪器分析</w:t>
      </w:r>
      <w:r>
        <w:rPr>
          <w:rFonts w:ascii="仿宋_GB2312" w:eastAsia="仿宋_GB2312"/>
          <w:sz w:val="24"/>
        </w:rPr>
        <w:t>(</w:t>
      </w:r>
      <w:r>
        <w:rPr>
          <w:rFonts w:hint="eastAsia" w:ascii="仿宋_GB2312" w:eastAsia="仿宋_GB2312"/>
          <w:sz w:val="24"/>
        </w:rPr>
        <w:t>含波谱分析</w:t>
      </w:r>
      <w:r>
        <w:rPr>
          <w:rFonts w:ascii="仿宋_GB2312" w:eastAsia="仿宋_GB2312"/>
          <w:sz w:val="24"/>
        </w:rPr>
        <w:t>)</w:t>
      </w:r>
      <w:r>
        <w:rPr>
          <w:rFonts w:hint="eastAsia" w:ascii="仿宋_GB2312" w:eastAsia="仿宋_GB2312"/>
          <w:sz w:val="24"/>
        </w:rPr>
        <w:t>、生物化学、化工原理、高分子化学及物理、工程制图、电子电工学、化工热力学、化工设备基础、反应及分离工程、化学工艺学、化工过程控制及仪表、化工设计、化工过程模拟及优化、精细有机合成、高分子材料合成与加工。</w:t>
      </w:r>
    </w:p>
    <w:p>
      <w:pPr>
        <w:numPr>
          <w:ilvl w:val="0"/>
          <w:numId w:val="1"/>
        </w:numPr>
        <w:spacing w:beforeLines="50" w:afterLines="50" w:line="312" w:lineRule="auto"/>
        <w:outlineLvl w:val="0"/>
        <w:rPr>
          <w:rFonts w:ascii="宋体" w:hAnsi="宋体" w:cs="宋体"/>
          <w:b/>
          <w:bCs/>
          <w:sz w:val="28"/>
          <w:szCs w:val="28"/>
        </w:rPr>
      </w:pPr>
      <w:r>
        <w:rPr>
          <w:rFonts w:hint="eastAsia" w:ascii="宋体" w:hAnsi="宋体" w:cs="宋体"/>
          <w:b/>
          <w:bCs/>
          <w:sz w:val="28"/>
          <w:szCs w:val="28"/>
        </w:rPr>
        <w:t>毕业标准与学位学分绩点要求</w:t>
      </w:r>
    </w:p>
    <w:p>
      <w:pPr>
        <w:spacing w:beforeLines="50" w:afterLines="50" w:line="312" w:lineRule="auto"/>
        <w:ind w:firstLine="477" w:firstLineChars="199"/>
        <w:rPr>
          <w:rFonts w:ascii="宋体" w:hAnsi="宋体"/>
          <w:szCs w:val="21"/>
        </w:rPr>
      </w:pPr>
      <w:r>
        <w:rPr>
          <w:rFonts w:hint="eastAsia" w:ascii="仿宋_GB2312" w:eastAsia="仿宋_GB2312"/>
          <w:b/>
          <w:kern w:val="0"/>
          <w:sz w:val="24"/>
        </w:rPr>
        <w:t xml:space="preserve">毕业标准: </w:t>
      </w:r>
      <w:r>
        <w:rPr>
          <w:rFonts w:hint="eastAsia" w:ascii="仿宋_GB2312" w:eastAsia="仿宋_GB2312"/>
          <w:sz w:val="24"/>
        </w:rPr>
        <w:t>遵章守纪,具有良好的思想道德和身体素质,符合规定的德育和体育标准；修满本专业最低计划学分要求180学分,且各类课程的学分符合专业指导性教学计划规定。</w:t>
      </w:r>
    </w:p>
    <w:p>
      <w:pPr>
        <w:spacing w:beforeLines="50" w:afterLines="50" w:line="312" w:lineRule="auto"/>
        <w:ind w:firstLine="540" w:firstLineChars="225"/>
        <w:rPr>
          <w:rFonts w:ascii="仿宋_GB2312" w:eastAsia="仿宋_GB2312"/>
          <w:sz w:val="24"/>
        </w:rPr>
      </w:pPr>
      <w:r>
        <w:rPr>
          <w:rFonts w:hint="eastAsia" w:ascii="仿宋_GB2312" w:eastAsia="仿宋_GB2312"/>
          <w:b/>
          <w:kern w:val="0"/>
          <w:sz w:val="24"/>
        </w:rPr>
        <w:t xml:space="preserve">学位学分绩点要求: </w:t>
      </w:r>
      <w:r>
        <w:rPr>
          <w:rFonts w:hint="eastAsia" w:ascii="仿宋_GB2312" w:eastAsia="仿宋_GB2312"/>
          <w:sz w:val="24"/>
        </w:rPr>
        <w:t>平均学分绩点≥2.0。</w:t>
      </w:r>
    </w:p>
    <w:p>
      <w:pPr>
        <w:spacing w:beforeLines="50" w:afterLines="50" w:line="312" w:lineRule="auto"/>
        <w:outlineLvl w:val="0"/>
        <w:rPr>
          <w:rFonts w:ascii="宋体" w:hAnsi="宋体" w:cs="宋体"/>
          <w:b/>
          <w:bCs/>
          <w:sz w:val="28"/>
          <w:szCs w:val="28"/>
        </w:rPr>
      </w:pPr>
      <w:r>
        <w:rPr>
          <w:rFonts w:hint="eastAsia" w:ascii="宋体" w:hAnsi="宋体" w:cs="宋体"/>
          <w:b/>
          <w:bCs/>
          <w:sz w:val="28"/>
          <w:szCs w:val="28"/>
        </w:rPr>
        <w:t>五、课程结构和学分学时分布表</w:t>
      </w:r>
    </w:p>
    <w:tbl>
      <w:tblPr>
        <w:tblStyle w:val="4"/>
        <w:tblW w:w="9045" w:type="dxa"/>
        <w:tblInd w:w="-4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90"/>
        <w:gridCol w:w="787"/>
        <w:gridCol w:w="773"/>
        <w:gridCol w:w="900"/>
        <w:gridCol w:w="1065"/>
        <w:gridCol w:w="1005"/>
        <w:gridCol w:w="1095"/>
        <w:gridCol w:w="12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2190"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ind w:firstLine="240" w:firstLineChars="100"/>
              <w:jc w:val="center"/>
              <w:rPr>
                <w:rFonts w:hint="eastAsia" w:ascii="仿宋" w:hAnsi="仿宋" w:eastAsia="仿宋" w:cs="仿宋"/>
                <w:sz w:val="24"/>
                <w:szCs w:val="24"/>
              </w:rPr>
            </w:pPr>
            <w:r>
              <w:rPr>
                <w:rFonts w:hint="eastAsia" w:ascii="仿宋" w:hAnsi="仿宋" w:eastAsia="仿宋" w:cs="仿宋"/>
                <w:sz w:val="24"/>
                <w:szCs w:val="24"/>
              </w:rPr>
              <w:t>课程类别</w:t>
            </w:r>
          </w:p>
        </w:tc>
        <w:tc>
          <w:tcPr>
            <w:tcW w:w="787"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学分</w:t>
            </w:r>
          </w:p>
        </w:tc>
        <w:tc>
          <w:tcPr>
            <w:tcW w:w="773"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学时</w:t>
            </w:r>
          </w:p>
        </w:tc>
        <w:tc>
          <w:tcPr>
            <w:tcW w:w="900"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学时 比例（%）</w:t>
            </w:r>
          </w:p>
        </w:tc>
        <w:tc>
          <w:tcPr>
            <w:tcW w:w="207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课程性质</w:t>
            </w:r>
          </w:p>
        </w:tc>
        <w:tc>
          <w:tcPr>
            <w:tcW w:w="2325"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教学形式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219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s="仿宋"/>
                <w:sz w:val="24"/>
                <w:szCs w:val="24"/>
              </w:rPr>
            </w:pPr>
          </w:p>
        </w:tc>
        <w:tc>
          <w:tcPr>
            <w:tcW w:w="78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s="仿宋"/>
                <w:sz w:val="24"/>
                <w:szCs w:val="24"/>
              </w:rPr>
            </w:pPr>
          </w:p>
        </w:tc>
        <w:tc>
          <w:tcPr>
            <w:tcW w:w="77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s="仿宋"/>
                <w:sz w:val="24"/>
                <w:szCs w:val="24"/>
              </w:rPr>
            </w:pPr>
          </w:p>
        </w:tc>
        <w:tc>
          <w:tcPr>
            <w:tcW w:w="9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s="仿宋"/>
                <w:sz w:val="24"/>
                <w:szCs w:val="24"/>
              </w:rPr>
            </w:pPr>
          </w:p>
        </w:tc>
        <w:tc>
          <w:tcPr>
            <w:tcW w:w="1065" w:type="dxa"/>
            <w:vMerge w:val="restart"/>
            <w:tcBorders>
              <w:top w:val="single" w:color="auto" w:sz="4" w:space="0"/>
              <w:left w:val="single" w:color="auto" w:sz="4" w:space="0"/>
              <w:right w:val="single" w:color="auto" w:sz="4" w:space="0"/>
            </w:tcBorders>
          </w:tcPr>
          <w:p>
            <w:pPr>
              <w:jc w:val="center"/>
              <w:rPr>
                <w:rFonts w:hint="eastAsia" w:ascii="仿宋" w:hAnsi="仿宋" w:eastAsia="仿宋" w:cs="仿宋"/>
                <w:sz w:val="24"/>
                <w:szCs w:val="24"/>
              </w:rPr>
            </w:pPr>
            <w:r>
              <w:rPr>
                <w:rFonts w:hint="eastAsia" w:ascii="仿宋" w:hAnsi="仿宋" w:eastAsia="仿宋" w:cs="仿宋"/>
                <w:sz w:val="24"/>
                <w:szCs w:val="24"/>
              </w:rPr>
              <w:t>必修课</w:t>
            </w:r>
          </w:p>
          <w:p>
            <w:pPr>
              <w:jc w:val="center"/>
              <w:rPr>
                <w:rFonts w:hint="eastAsia" w:ascii="仿宋" w:hAnsi="仿宋" w:eastAsia="仿宋" w:cs="仿宋"/>
                <w:sz w:val="24"/>
                <w:szCs w:val="24"/>
              </w:rPr>
            </w:pPr>
            <w:r>
              <w:rPr>
                <w:rFonts w:hint="eastAsia" w:ascii="仿宋" w:hAnsi="仿宋" w:eastAsia="仿宋" w:cs="仿宋"/>
                <w:sz w:val="24"/>
                <w:szCs w:val="24"/>
              </w:rPr>
              <w:t>学时</w:t>
            </w:r>
          </w:p>
        </w:tc>
        <w:tc>
          <w:tcPr>
            <w:tcW w:w="1005" w:type="dxa"/>
            <w:vMerge w:val="restart"/>
            <w:tcBorders>
              <w:top w:val="single" w:color="auto" w:sz="4" w:space="0"/>
              <w:left w:val="single" w:color="auto" w:sz="4" w:space="0"/>
              <w:right w:val="single" w:color="auto" w:sz="4" w:space="0"/>
            </w:tcBorders>
          </w:tcPr>
          <w:p>
            <w:pPr>
              <w:jc w:val="center"/>
              <w:rPr>
                <w:rFonts w:hint="eastAsia" w:ascii="仿宋" w:hAnsi="仿宋" w:eastAsia="仿宋" w:cs="仿宋"/>
                <w:sz w:val="24"/>
                <w:szCs w:val="24"/>
              </w:rPr>
            </w:pPr>
            <w:r>
              <w:rPr>
                <w:rFonts w:hint="eastAsia" w:ascii="仿宋" w:hAnsi="仿宋" w:eastAsia="仿宋" w:cs="仿宋"/>
                <w:sz w:val="24"/>
                <w:szCs w:val="24"/>
              </w:rPr>
              <w:t>选修课</w:t>
            </w:r>
          </w:p>
          <w:p>
            <w:pPr>
              <w:jc w:val="center"/>
              <w:rPr>
                <w:rFonts w:hint="eastAsia" w:ascii="仿宋" w:hAnsi="仿宋" w:eastAsia="仿宋" w:cs="仿宋"/>
                <w:sz w:val="24"/>
                <w:szCs w:val="24"/>
              </w:rPr>
            </w:pPr>
            <w:r>
              <w:rPr>
                <w:rFonts w:hint="eastAsia" w:ascii="仿宋" w:hAnsi="仿宋" w:eastAsia="仿宋" w:cs="仿宋"/>
                <w:sz w:val="24"/>
                <w:szCs w:val="24"/>
              </w:rPr>
              <w:t>学时</w:t>
            </w:r>
          </w:p>
        </w:tc>
        <w:tc>
          <w:tcPr>
            <w:tcW w:w="1095" w:type="dxa"/>
            <w:vMerge w:val="restart"/>
            <w:tcBorders>
              <w:top w:val="single" w:color="auto" w:sz="4" w:space="0"/>
              <w:left w:val="single" w:color="auto" w:sz="4" w:space="0"/>
              <w:right w:val="single" w:color="auto" w:sz="4" w:space="0"/>
            </w:tcBorders>
          </w:tcPr>
          <w:p>
            <w:pPr>
              <w:jc w:val="center"/>
              <w:rPr>
                <w:rFonts w:hint="eastAsia" w:ascii="仿宋" w:hAnsi="仿宋" w:eastAsia="仿宋" w:cs="仿宋"/>
                <w:sz w:val="24"/>
                <w:szCs w:val="24"/>
              </w:rPr>
            </w:pPr>
            <w:r>
              <w:rPr>
                <w:rFonts w:hint="eastAsia" w:ascii="仿宋" w:hAnsi="仿宋" w:eastAsia="仿宋" w:cs="仿宋"/>
                <w:sz w:val="24"/>
                <w:szCs w:val="24"/>
              </w:rPr>
              <w:t>理论教学学时</w:t>
            </w:r>
          </w:p>
        </w:tc>
        <w:tc>
          <w:tcPr>
            <w:tcW w:w="1230" w:type="dxa"/>
            <w:vMerge w:val="restart"/>
            <w:tcBorders>
              <w:top w:val="single" w:color="auto" w:sz="4" w:space="0"/>
              <w:left w:val="single" w:color="auto" w:sz="4" w:space="0"/>
              <w:right w:val="single" w:color="auto" w:sz="4" w:space="0"/>
            </w:tcBorders>
          </w:tcPr>
          <w:p>
            <w:pPr>
              <w:jc w:val="center"/>
              <w:rPr>
                <w:rFonts w:hint="eastAsia" w:ascii="仿宋" w:hAnsi="仿宋" w:eastAsia="仿宋" w:cs="仿宋"/>
                <w:sz w:val="24"/>
                <w:szCs w:val="24"/>
              </w:rPr>
            </w:pPr>
            <w:r>
              <w:rPr>
                <w:rFonts w:hint="eastAsia" w:ascii="仿宋" w:hAnsi="仿宋" w:eastAsia="仿宋" w:cs="仿宋"/>
                <w:sz w:val="24"/>
                <w:szCs w:val="24"/>
              </w:rPr>
              <w:t>实践教学</w:t>
            </w:r>
          </w:p>
          <w:p>
            <w:pPr>
              <w:jc w:val="center"/>
              <w:rPr>
                <w:rFonts w:hint="eastAsia" w:ascii="仿宋" w:hAnsi="仿宋" w:eastAsia="仿宋" w:cs="仿宋"/>
                <w:sz w:val="24"/>
                <w:szCs w:val="24"/>
              </w:rPr>
            </w:pPr>
            <w:r>
              <w:rPr>
                <w:rFonts w:hint="eastAsia" w:ascii="仿宋" w:hAnsi="仿宋" w:eastAsia="仿宋" w:cs="仿宋"/>
                <w:sz w:val="24"/>
                <w:szCs w:val="24"/>
              </w:rPr>
              <w:t>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2190" w:type="dxa"/>
            <w:vMerge w:val="continue"/>
            <w:tcBorders>
              <w:left w:val="single" w:color="auto" w:sz="4" w:space="0"/>
              <w:bottom w:val="single" w:color="auto" w:sz="4" w:space="0"/>
              <w:right w:val="single" w:color="auto" w:sz="4" w:space="0"/>
            </w:tcBorders>
            <w:vAlign w:val="center"/>
          </w:tcPr>
          <w:p>
            <w:pPr>
              <w:jc w:val="center"/>
              <w:rPr>
                <w:rFonts w:hint="eastAsia" w:ascii="仿宋" w:hAnsi="仿宋" w:eastAsia="仿宋" w:cs="仿宋"/>
                <w:sz w:val="24"/>
                <w:szCs w:val="24"/>
              </w:rPr>
            </w:pPr>
          </w:p>
        </w:tc>
        <w:tc>
          <w:tcPr>
            <w:tcW w:w="787" w:type="dxa"/>
            <w:vMerge w:val="continue"/>
            <w:tcBorders>
              <w:left w:val="single" w:color="auto" w:sz="4" w:space="0"/>
              <w:bottom w:val="single" w:color="auto" w:sz="4" w:space="0"/>
              <w:right w:val="single" w:color="auto" w:sz="4" w:space="0"/>
            </w:tcBorders>
            <w:vAlign w:val="center"/>
          </w:tcPr>
          <w:p>
            <w:pPr>
              <w:jc w:val="center"/>
              <w:rPr>
                <w:rFonts w:hint="eastAsia" w:ascii="仿宋" w:hAnsi="仿宋" w:eastAsia="仿宋" w:cs="仿宋"/>
                <w:sz w:val="24"/>
                <w:szCs w:val="24"/>
              </w:rPr>
            </w:pPr>
          </w:p>
        </w:tc>
        <w:tc>
          <w:tcPr>
            <w:tcW w:w="773" w:type="dxa"/>
            <w:vMerge w:val="continue"/>
            <w:tcBorders>
              <w:left w:val="single" w:color="auto" w:sz="4" w:space="0"/>
              <w:bottom w:val="single" w:color="auto" w:sz="4" w:space="0"/>
              <w:right w:val="single" w:color="auto" w:sz="4" w:space="0"/>
            </w:tcBorders>
            <w:vAlign w:val="center"/>
          </w:tcPr>
          <w:p>
            <w:pPr>
              <w:jc w:val="center"/>
              <w:rPr>
                <w:rFonts w:hint="eastAsia" w:ascii="仿宋" w:hAnsi="仿宋" w:eastAsia="仿宋" w:cs="仿宋"/>
                <w:sz w:val="24"/>
                <w:szCs w:val="24"/>
              </w:rPr>
            </w:pPr>
          </w:p>
        </w:tc>
        <w:tc>
          <w:tcPr>
            <w:tcW w:w="900" w:type="dxa"/>
            <w:vMerge w:val="continue"/>
            <w:tcBorders>
              <w:left w:val="single" w:color="auto" w:sz="4" w:space="0"/>
              <w:bottom w:val="single" w:color="auto" w:sz="4" w:space="0"/>
              <w:right w:val="single" w:color="auto" w:sz="4" w:space="0"/>
            </w:tcBorders>
            <w:vAlign w:val="center"/>
          </w:tcPr>
          <w:p>
            <w:pPr>
              <w:jc w:val="center"/>
              <w:rPr>
                <w:rFonts w:hint="eastAsia" w:ascii="仿宋" w:hAnsi="仿宋" w:eastAsia="仿宋" w:cs="仿宋"/>
                <w:sz w:val="24"/>
                <w:szCs w:val="24"/>
              </w:rPr>
            </w:pPr>
          </w:p>
        </w:tc>
        <w:tc>
          <w:tcPr>
            <w:tcW w:w="1065" w:type="dxa"/>
            <w:vMerge w:val="continue"/>
            <w:tcBorders>
              <w:left w:val="single" w:color="auto" w:sz="4" w:space="0"/>
              <w:bottom w:val="single" w:color="auto" w:sz="4" w:space="0"/>
              <w:right w:val="single" w:color="auto" w:sz="4" w:space="0"/>
            </w:tcBorders>
          </w:tcPr>
          <w:p>
            <w:pPr>
              <w:jc w:val="center"/>
              <w:rPr>
                <w:rFonts w:hint="eastAsia" w:ascii="仿宋" w:hAnsi="仿宋" w:eastAsia="仿宋" w:cs="仿宋"/>
                <w:sz w:val="24"/>
                <w:szCs w:val="24"/>
              </w:rPr>
            </w:pPr>
          </w:p>
        </w:tc>
        <w:tc>
          <w:tcPr>
            <w:tcW w:w="1005" w:type="dxa"/>
            <w:vMerge w:val="continue"/>
            <w:tcBorders>
              <w:left w:val="single" w:color="auto" w:sz="4" w:space="0"/>
              <w:bottom w:val="single" w:color="auto" w:sz="4" w:space="0"/>
              <w:right w:val="single" w:color="auto" w:sz="4" w:space="0"/>
            </w:tcBorders>
          </w:tcPr>
          <w:p>
            <w:pPr>
              <w:jc w:val="center"/>
              <w:rPr>
                <w:rFonts w:hint="eastAsia" w:ascii="仿宋" w:hAnsi="仿宋" w:eastAsia="仿宋" w:cs="仿宋"/>
                <w:sz w:val="24"/>
                <w:szCs w:val="24"/>
              </w:rPr>
            </w:pPr>
          </w:p>
        </w:tc>
        <w:tc>
          <w:tcPr>
            <w:tcW w:w="1095" w:type="dxa"/>
            <w:vMerge w:val="continue"/>
            <w:tcBorders>
              <w:left w:val="single" w:color="auto" w:sz="4" w:space="0"/>
              <w:bottom w:val="single" w:color="auto" w:sz="4" w:space="0"/>
              <w:right w:val="single" w:color="auto" w:sz="4" w:space="0"/>
            </w:tcBorders>
          </w:tcPr>
          <w:p>
            <w:pPr>
              <w:jc w:val="center"/>
              <w:rPr>
                <w:rFonts w:hint="eastAsia" w:ascii="仿宋" w:hAnsi="仿宋" w:eastAsia="仿宋" w:cs="仿宋"/>
                <w:sz w:val="24"/>
                <w:szCs w:val="24"/>
              </w:rPr>
            </w:pPr>
          </w:p>
        </w:tc>
        <w:tc>
          <w:tcPr>
            <w:tcW w:w="1230" w:type="dxa"/>
            <w:vMerge w:val="continue"/>
            <w:tcBorders>
              <w:left w:val="single" w:color="auto" w:sz="4" w:space="0"/>
              <w:bottom w:val="single" w:color="auto" w:sz="4" w:space="0"/>
              <w:right w:val="single" w:color="auto" w:sz="4" w:space="0"/>
            </w:tcBorders>
          </w:tcPr>
          <w:p>
            <w:pPr>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219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通识教育课</w:t>
            </w:r>
          </w:p>
        </w:tc>
        <w:tc>
          <w:tcPr>
            <w:tcW w:w="78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24"/>
                <w:szCs w:val="24"/>
              </w:rPr>
            </w:pPr>
            <w:r>
              <w:rPr>
                <w:rFonts w:hint="eastAsia" w:ascii="仿宋" w:hAnsi="仿宋" w:eastAsia="仿宋" w:cs="仿宋"/>
                <w:sz w:val="24"/>
                <w:szCs w:val="24"/>
              </w:rPr>
              <w:t>62.5</w:t>
            </w:r>
          </w:p>
        </w:tc>
        <w:tc>
          <w:tcPr>
            <w:tcW w:w="77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24"/>
                <w:szCs w:val="24"/>
              </w:rPr>
            </w:pPr>
            <w:r>
              <w:rPr>
                <w:rFonts w:hint="eastAsia" w:ascii="仿宋" w:hAnsi="仿宋" w:eastAsia="仿宋" w:cs="仿宋"/>
                <w:sz w:val="24"/>
                <w:szCs w:val="24"/>
              </w:rPr>
              <w:t>1096</w:t>
            </w:r>
          </w:p>
        </w:tc>
        <w:tc>
          <w:tcPr>
            <w:tcW w:w="90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24"/>
                <w:szCs w:val="24"/>
              </w:rPr>
            </w:pPr>
            <w:r>
              <w:rPr>
                <w:rFonts w:hint="eastAsia" w:ascii="仿宋" w:hAnsi="仿宋" w:eastAsia="仿宋" w:cs="仿宋"/>
                <w:sz w:val="24"/>
                <w:szCs w:val="24"/>
                <w:lang w:val="en-US" w:eastAsia="zh-CN"/>
              </w:rPr>
              <w:t>36.83</w:t>
            </w:r>
          </w:p>
        </w:tc>
        <w:tc>
          <w:tcPr>
            <w:tcW w:w="106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仿宋" w:hAnsi="仿宋" w:eastAsia="仿宋" w:cs="仿宋"/>
                <w:sz w:val="24"/>
                <w:szCs w:val="24"/>
                <w:lang w:val="en-US" w:eastAsia="zh-CN"/>
              </w:rPr>
            </w:pPr>
            <w:r>
              <w:rPr>
                <w:rFonts w:hint="eastAsia" w:ascii="仿宋" w:hAnsi="仿宋" w:eastAsia="仿宋" w:cs="仿宋"/>
                <w:color w:val="000000"/>
                <w:kern w:val="0"/>
                <w:sz w:val="24"/>
                <w:szCs w:val="24"/>
                <w:lang w:val="en-US" w:eastAsia="zh-CN"/>
              </w:rPr>
              <w:t>616</w:t>
            </w:r>
          </w:p>
        </w:tc>
        <w:tc>
          <w:tcPr>
            <w:tcW w:w="100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color w:val="000000"/>
                <w:kern w:val="0"/>
                <w:sz w:val="24"/>
                <w:szCs w:val="24"/>
              </w:rPr>
              <w:t>480</w:t>
            </w:r>
          </w:p>
        </w:tc>
        <w:tc>
          <w:tcPr>
            <w:tcW w:w="109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24"/>
                <w:szCs w:val="24"/>
              </w:rPr>
            </w:pPr>
            <w:r>
              <w:rPr>
                <w:rFonts w:hint="eastAsia" w:ascii="仿宋" w:hAnsi="仿宋" w:eastAsia="仿宋" w:cs="仿宋"/>
                <w:sz w:val="24"/>
                <w:szCs w:val="24"/>
              </w:rPr>
              <w:t>1008</w:t>
            </w:r>
          </w:p>
        </w:tc>
        <w:tc>
          <w:tcPr>
            <w:tcW w:w="123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color w:val="000000"/>
                <w:kern w:val="0"/>
                <w:sz w:val="24"/>
                <w:szCs w:val="24"/>
              </w:rPr>
              <w:t>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219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 w:hAnsi="仿宋" w:eastAsia="仿宋" w:cs="仿宋"/>
                <w:sz w:val="24"/>
                <w:szCs w:val="24"/>
              </w:rPr>
            </w:pPr>
            <w:r>
              <w:rPr>
                <w:rFonts w:hint="eastAsia" w:ascii="仿宋" w:hAnsi="仿宋" w:eastAsia="仿宋" w:cs="仿宋"/>
                <w:sz w:val="24"/>
                <w:szCs w:val="24"/>
              </w:rPr>
              <w:t>大类与专业基础课</w:t>
            </w:r>
          </w:p>
        </w:tc>
        <w:tc>
          <w:tcPr>
            <w:tcW w:w="78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24"/>
                <w:szCs w:val="24"/>
              </w:rPr>
            </w:pPr>
            <w:r>
              <w:rPr>
                <w:rFonts w:hint="eastAsia" w:ascii="仿宋" w:hAnsi="仿宋" w:eastAsia="仿宋" w:cs="仿宋"/>
                <w:sz w:val="24"/>
                <w:szCs w:val="24"/>
              </w:rPr>
              <w:t>27</w:t>
            </w:r>
          </w:p>
        </w:tc>
        <w:tc>
          <w:tcPr>
            <w:tcW w:w="77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24"/>
                <w:szCs w:val="24"/>
              </w:rPr>
            </w:pPr>
            <w:r>
              <w:rPr>
                <w:rFonts w:hint="eastAsia" w:ascii="仿宋" w:hAnsi="仿宋" w:eastAsia="仿宋" w:cs="仿宋"/>
                <w:sz w:val="24"/>
                <w:szCs w:val="24"/>
              </w:rPr>
              <w:t>432</w:t>
            </w:r>
          </w:p>
        </w:tc>
        <w:tc>
          <w:tcPr>
            <w:tcW w:w="90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24"/>
                <w:szCs w:val="24"/>
              </w:rPr>
            </w:pPr>
            <w:r>
              <w:rPr>
                <w:rFonts w:hint="eastAsia" w:ascii="仿宋" w:hAnsi="仿宋" w:eastAsia="仿宋" w:cs="仿宋"/>
                <w:sz w:val="24"/>
                <w:szCs w:val="24"/>
                <w:lang w:val="en-US" w:eastAsia="zh-CN"/>
              </w:rPr>
              <w:t>14.52</w:t>
            </w:r>
          </w:p>
        </w:tc>
        <w:tc>
          <w:tcPr>
            <w:tcW w:w="106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color w:val="000000"/>
                <w:kern w:val="0"/>
                <w:sz w:val="24"/>
                <w:szCs w:val="24"/>
              </w:rPr>
              <w:t>432</w:t>
            </w:r>
          </w:p>
        </w:tc>
        <w:tc>
          <w:tcPr>
            <w:tcW w:w="100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color w:val="000000"/>
                <w:kern w:val="0"/>
                <w:sz w:val="24"/>
                <w:szCs w:val="24"/>
              </w:rPr>
              <w:t>0</w:t>
            </w:r>
          </w:p>
        </w:tc>
        <w:tc>
          <w:tcPr>
            <w:tcW w:w="109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24"/>
                <w:szCs w:val="24"/>
              </w:rPr>
            </w:pPr>
            <w:r>
              <w:rPr>
                <w:rFonts w:hint="eastAsia" w:ascii="仿宋" w:hAnsi="仿宋" w:eastAsia="仿宋" w:cs="仿宋"/>
                <w:sz w:val="24"/>
                <w:szCs w:val="24"/>
              </w:rPr>
              <w:t>420</w:t>
            </w:r>
          </w:p>
        </w:tc>
        <w:tc>
          <w:tcPr>
            <w:tcW w:w="123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color w:val="000000"/>
                <w:kern w:val="0"/>
                <w:sz w:val="24"/>
                <w:szCs w:val="24"/>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219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 w:hAnsi="仿宋" w:eastAsia="仿宋" w:cs="仿宋"/>
                <w:sz w:val="24"/>
                <w:szCs w:val="24"/>
              </w:rPr>
            </w:pPr>
            <w:r>
              <w:rPr>
                <w:rFonts w:hint="eastAsia" w:ascii="仿宋" w:hAnsi="仿宋" w:eastAsia="仿宋" w:cs="仿宋"/>
                <w:sz w:val="24"/>
                <w:szCs w:val="24"/>
              </w:rPr>
              <w:t>专业主干课</w:t>
            </w:r>
          </w:p>
        </w:tc>
        <w:tc>
          <w:tcPr>
            <w:tcW w:w="78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24"/>
                <w:szCs w:val="24"/>
              </w:rPr>
            </w:pPr>
            <w:r>
              <w:rPr>
                <w:rFonts w:hint="eastAsia" w:ascii="仿宋" w:hAnsi="仿宋" w:eastAsia="仿宋" w:cs="仿宋"/>
                <w:sz w:val="24"/>
                <w:szCs w:val="24"/>
              </w:rPr>
              <w:t>20</w:t>
            </w:r>
          </w:p>
        </w:tc>
        <w:tc>
          <w:tcPr>
            <w:tcW w:w="77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24"/>
                <w:szCs w:val="24"/>
              </w:rPr>
            </w:pPr>
            <w:r>
              <w:rPr>
                <w:rFonts w:hint="eastAsia" w:ascii="仿宋" w:hAnsi="仿宋" w:eastAsia="仿宋" w:cs="仿宋"/>
                <w:sz w:val="24"/>
                <w:szCs w:val="24"/>
              </w:rPr>
              <w:t>320</w:t>
            </w:r>
          </w:p>
        </w:tc>
        <w:tc>
          <w:tcPr>
            <w:tcW w:w="90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24"/>
                <w:szCs w:val="24"/>
              </w:rPr>
            </w:pPr>
            <w:r>
              <w:rPr>
                <w:rFonts w:hint="eastAsia" w:ascii="仿宋" w:hAnsi="仿宋" w:eastAsia="仿宋" w:cs="仿宋"/>
                <w:sz w:val="24"/>
                <w:szCs w:val="24"/>
                <w:lang w:val="en-US" w:eastAsia="zh-CN"/>
              </w:rPr>
              <w:t>10.75</w:t>
            </w:r>
          </w:p>
        </w:tc>
        <w:tc>
          <w:tcPr>
            <w:tcW w:w="106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color w:val="000000"/>
                <w:kern w:val="0"/>
                <w:sz w:val="24"/>
                <w:szCs w:val="24"/>
              </w:rPr>
              <w:t>320</w:t>
            </w:r>
          </w:p>
        </w:tc>
        <w:tc>
          <w:tcPr>
            <w:tcW w:w="100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color w:val="000000"/>
                <w:kern w:val="0"/>
                <w:sz w:val="24"/>
                <w:szCs w:val="24"/>
              </w:rPr>
              <w:t>0</w:t>
            </w:r>
          </w:p>
        </w:tc>
        <w:tc>
          <w:tcPr>
            <w:tcW w:w="109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24"/>
                <w:szCs w:val="24"/>
              </w:rPr>
            </w:pPr>
            <w:r>
              <w:rPr>
                <w:rFonts w:hint="eastAsia" w:ascii="仿宋" w:hAnsi="仿宋" w:eastAsia="仿宋" w:cs="仿宋"/>
                <w:sz w:val="24"/>
                <w:szCs w:val="24"/>
              </w:rPr>
              <w:t>296</w:t>
            </w:r>
          </w:p>
        </w:tc>
        <w:tc>
          <w:tcPr>
            <w:tcW w:w="123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color w:val="000000"/>
                <w:kern w:val="0"/>
                <w:sz w:val="24"/>
                <w:szCs w:val="24"/>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219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专业方向课</w:t>
            </w:r>
          </w:p>
        </w:tc>
        <w:tc>
          <w:tcPr>
            <w:tcW w:w="78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24"/>
                <w:szCs w:val="24"/>
                <w:lang w:eastAsia="zh-CN"/>
              </w:rPr>
            </w:pPr>
            <w:r>
              <w:rPr>
                <w:rFonts w:hint="eastAsia" w:ascii="仿宋" w:hAnsi="仿宋" w:eastAsia="仿宋" w:cs="仿宋"/>
                <w:sz w:val="24"/>
                <w:szCs w:val="24"/>
              </w:rPr>
              <w:t>1</w:t>
            </w:r>
            <w:r>
              <w:rPr>
                <w:rFonts w:hint="eastAsia" w:ascii="仿宋" w:hAnsi="仿宋" w:eastAsia="仿宋" w:cs="仿宋"/>
                <w:sz w:val="24"/>
                <w:szCs w:val="24"/>
                <w:lang w:val="en-US" w:eastAsia="zh-CN"/>
              </w:rPr>
              <w:t>4</w:t>
            </w:r>
          </w:p>
        </w:tc>
        <w:tc>
          <w:tcPr>
            <w:tcW w:w="773" w:type="dxa"/>
            <w:tcBorders>
              <w:top w:val="single" w:color="auto" w:sz="4" w:space="0"/>
              <w:left w:val="single" w:color="auto" w:sz="4" w:space="0"/>
              <w:bottom w:val="single" w:color="auto" w:sz="4" w:space="0"/>
              <w:right w:val="single" w:color="auto" w:sz="4" w:space="0"/>
            </w:tcBorders>
            <w:vAlign w:val="center"/>
          </w:tcPr>
          <w:p>
            <w:pPr>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224</w:t>
            </w:r>
          </w:p>
        </w:tc>
        <w:tc>
          <w:tcPr>
            <w:tcW w:w="90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24"/>
                <w:szCs w:val="24"/>
              </w:rPr>
            </w:pPr>
            <w:r>
              <w:rPr>
                <w:rFonts w:hint="eastAsia" w:ascii="仿宋" w:hAnsi="仿宋" w:eastAsia="仿宋" w:cs="仿宋"/>
                <w:sz w:val="24"/>
                <w:szCs w:val="24"/>
                <w:lang w:val="en-US" w:eastAsia="zh-CN"/>
              </w:rPr>
              <w:t>7.53</w:t>
            </w:r>
          </w:p>
        </w:tc>
        <w:tc>
          <w:tcPr>
            <w:tcW w:w="106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仿宋" w:hAnsi="仿宋" w:eastAsia="仿宋" w:cs="仿宋"/>
                <w:sz w:val="24"/>
                <w:szCs w:val="24"/>
                <w:lang w:val="en-US" w:eastAsia="zh-CN"/>
              </w:rPr>
            </w:pPr>
            <w:r>
              <w:rPr>
                <w:rFonts w:hint="eastAsia" w:ascii="仿宋" w:hAnsi="仿宋" w:eastAsia="仿宋" w:cs="仿宋"/>
                <w:color w:val="000000"/>
                <w:kern w:val="0"/>
                <w:sz w:val="24"/>
                <w:szCs w:val="24"/>
                <w:lang w:val="en-US" w:eastAsia="zh-CN"/>
              </w:rPr>
              <w:t>224</w:t>
            </w:r>
          </w:p>
        </w:tc>
        <w:tc>
          <w:tcPr>
            <w:tcW w:w="100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color w:val="000000"/>
                <w:kern w:val="0"/>
                <w:sz w:val="24"/>
                <w:szCs w:val="24"/>
              </w:rPr>
              <w:t>0</w:t>
            </w:r>
          </w:p>
        </w:tc>
        <w:tc>
          <w:tcPr>
            <w:tcW w:w="1095" w:type="dxa"/>
            <w:tcBorders>
              <w:top w:val="single" w:color="auto" w:sz="4" w:space="0"/>
              <w:left w:val="single" w:color="auto" w:sz="4" w:space="0"/>
              <w:bottom w:val="single" w:color="auto" w:sz="4" w:space="0"/>
              <w:right w:val="single" w:color="auto" w:sz="4" w:space="0"/>
            </w:tcBorders>
            <w:vAlign w:val="center"/>
          </w:tcPr>
          <w:p>
            <w:pPr>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172</w:t>
            </w:r>
          </w:p>
        </w:tc>
        <w:tc>
          <w:tcPr>
            <w:tcW w:w="123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仿宋" w:hAnsi="仿宋" w:eastAsia="仿宋" w:cs="仿宋"/>
                <w:sz w:val="24"/>
                <w:szCs w:val="24"/>
                <w:lang w:val="en-US" w:eastAsia="zh-CN"/>
              </w:rPr>
            </w:pPr>
            <w:r>
              <w:rPr>
                <w:rFonts w:hint="eastAsia" w:ascii="仿宋" w:hAnsi="仿宋" w:eastAsia="仿宋" w:cs="仿宋"/>
                <w:color w:val="000000"/>
                <w:kern w:val="0"/>
                <w:sz w:val="24"/>
                <w:szCs w:val="24"/>
                <w:lang w:val="en-US" w:eastAsia="zh-CN"/>
              </w:rPr>
              <w:t>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9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个性发展课程</w:t>
            </w:r>
          </w:p>
        </w:tc>
        <w:tc>
          <w:tcPr>
            <w:tcW w:w="78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24"/>
                <w:szCs w:val="24"/>
              </w:rPr>
            </w:pPr>
            <w:r>
              <w:rPr>
                <w:rFonts w:hint="eastAsia" w:ascii="仿宋" w:hAnsi="仿宋" w:eastAsia="仿宋" w:cs="仿宋"/>
                <w:sz w:val="24"/>
                <w:szCs w:val="24"/>
              </w:rPr>
              <w:t>2.5</w:t>
            </w:r>
          </w:p>
        </w:tc>
        <w:tc>
          <w:tcPr>
            <w:tcW w:w="77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24"/>
                <w:szCs w:val="24"/>
              </w:rPr>
            </w:pPr>
            <w:r>
              <w:rPr>
                <w:rFonts w:hint="eastAsia" w:ascii="仿宋" w:hAnsi="仿宋" w:eastAsia="仿宋" w:cs="仿宋"/>
                <w:sz w:val="24"/>
                <w:szCs w:val="24"/>
              </w:rPr>
              <w:t>40</w:t>
            </w:r>
          </w:p>
        </w:tc>
        <w:tc>
          <w:tcPr>
            <w:tcW w:w="90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24"/>
                <w:szCs w:val="24"/>
              </w:rPr>
            </w:pPr>
            <w:r>
              <w:rPr>
                <w:rFonts w:hint="eastAsia" w:ascii="仿宋" w:hAnsi="仿宋" w:eastAsia="仿宋" w:cs="仿宋"/>
                <w:sz w:val="24"/>
                <w:szCs w:val="24"/>
                <w:lang w:val="en-US" w:eastAsia="zh-CN"/>
              </w:rPr>
              <w:t>1.34</w:t>
            </w:r>
          </w:p>
        </w:tc>
        <w:tc>
          <w:tcPr>
            <w:tcW w:w="106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color w:val="000000"/>
                <w:kern w:val="0"/>
                <w:sz w:val="24"/>
                <w:szCs w:val="24"/>
              </w:rPr>
              <w:t>0</w:t>
            </w:r>
          </w:p>
        </w:tc>
        <w:tc>
          <w:tcPr>
            <w:tcW w:w="100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color w:val="000000"/>
                <w:kern w:val="0"/>
                <w:sz w:val="24"/>
                <w:szCs w:val="24"/>
              </w:rPr>
              <w:t>40</w:t>
            </w:r>
          </w:p>
        </w:tc>
        <w:tc>
          <w:tcPr>
            <w:tcW w:w="109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24"/>
                <w:szCs w:val="24"/>
              </w:rPr>
            </w:pPr>
            <w:r>
              <w:rPr>
                <w:rFonts w:hint="eastAsia" w:ascii="仿宋" w:hAnsi="仿宋" w:eastAsia="仿宋" w:cs="仿宋"/>
                <w:sz w:val="24"/>
                <w:szCs w:val="24"/>
              </w:rPr>
              <w:t>40</w:t>
            </w:r>
          </w:p>
        </w:tc>
        <w:tc>
          <w:tcPr>
            <w:tcW w:w="123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color w:val="000000"/>
                <w:kern w:val="0"/>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219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集中实践环节</w:t>
            </w:r>
          </w:p>
        </w:tc>
        <w:tc>
          <w:tcPr>
            <w:tcW w:w="787" w:type="dxa"/>
            <w:tcBorders>
              <w:top w:val="single" w:color="auto" w:sz="4" w:space="0"/>
              <w:left w:val="single" w:color="auto" w:sz="4" w:space="0"/>
              <w:bottom w:val="single" w:color="auto" w:sz="4" w:space="0"/>
              <w:right w:val="single" w:color="auto" w:sz="4" w:space="0"/>
            </w:tcBorders>
            <w:vAlign w:val="center"/>
          </w:tcPr>
          <w:p>
            <w:pPr>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48</w:t>
            </w:r>
          </w:p>
        </w:tc>
        <w:tc>
          <w:tcPr>
            <w:tcW w:w="773" w:type="dxa"/>
            <w:tcBorders>
              <w:top w:val="single" w:color="auto" w:sz="4" w:space="0"/>
              <w:left w:val="single" w:color="auto" w:sz="4" w:space="0"/>
              <w:bottom w:val="single" w:color="auto" w:sz="4" w:space="0"/>
              <w:right w:val="single" w:color="auto" w:sz="4" w:space="0"/>
            </w:tcBorders>
            <w:vAlign w:val="center"/>
          </w:tcPr>
          <w:p>
            <w:pPr>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768</w:t>
            </w:r>
          </w:p>
        </w:tc>
        <w:tc>
          <w:tcPr>
            <w:tcW w:w="90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24"/>
                <w:szCs w:val="24"/>
              </w:rPr>
            </w:pPr>
            <w:r>
              <w:rPr>
                <w:rFonts w:hint="eastAsia" w:ascii="仿宋" w:hAnsi="仿宋" w:eastAsia="仿宋" w:cs="仿宋"/>
                <w:sz w:val="24"/>
                <w:szCs w:val="24"/>
                <w:lang w:val="en-US" w:eastAsia="zh-CN"/>
              </w:rPr>
              <w:t>25.81</w:t>
            </w:r>
          </w:p>
        </w:tc>
        <w:tc>
          <w:tcPr>
            <w:tcW w:w="106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仿宋" w:hAnsi="仿宋" w:eastAsia="仿宋" w:cs="仿宋"/>
                <w:sz w:val="24"/>
                <w:szCs w:val="24"/>
                <w:lang w:val="en-US" w:eastAsia="zh-CN"/>
              </w:rPr>
            </w:pPr>
            <w:r>
              <w:rPr>
                <w:rFonts w:hint="eastAsia" w:ascii="仿宋" w:hAnsi="仿宋" w:eastAsia="仿宋" w:cs="仿宋"/>
                <w:color w:val="000000"/>
                <w:kern w:val="0"/>
                <w:sz w:val="24"/>
                <w:szCs w:val="24"/>
                <w:lang w:val="en-US" w:eastAsia="zh-CN"/>
              </w:rPr>
              <w:t>768</w:t>
            </w:r>
          </w:p>
        </w:tc>
        <w:tc>
          <w:tcPr>
            <w:tcW w:w="100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color w:val="000000"/>
                <w:kern w:val="0"/>
                <w:sz w:val="24"/>
                <w:szCs w:val="24"/>
              </w:rPr>
              <w:t>0</w:t>
            </w:r>
          </w:p>
        </w:tc>
        <w:tc>
          <w:tcPr>
            <w:tcW w:w="1095" w:type="dxa"/>
            <w:tcBorders>
              <w:top w:val="single" w:color="auto" w:sz="4" w:space="0"/>
              <w:left w:val="single" w:color="auto" w:sz="4" w:space="0"/>
              <w:bottom w:val="single" w:color="auto" w:sz="4" w:space="0"/>
              <w:right w:val="single" w:color="auto" w:sz="4" w:space="0"/>
            </w:tcBorders>
            <w:vAlign w:val="center"/>
          </w:tcPr>
          <w:p>
            <w:pPr>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12</w:t>
            </w:r>
          </w:p>
        </w:tc>
        <w:tc>
          <w:tcPr>
            <w:tcW w:w="123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仿宋" w:hAnsi="仿宋" w:eastAsia="仿宋" w:cs="仿宋"/>
                <w:sz w:val="24"/>
                <w:szCs w:val="24"/>
                <w:lang w:val="en-US" w:eastAsia="zh-CN"/>
              </w:rPr>
            </w:pPr>
            <w:r>
              <w:rPr>
                <w:rFonts w:hint="eastAsia" w:ascii="仿宋" w:hAnsi="仿宋" w:eastAsia="仿宋" w:cs="仿宋"/>
                <w:color w:val="000000"/>
                <w:kern w:val="0"/>
                <w:sz w:val="24"/>
                <w:szCs w:val="24"/>
              </w:rPr>
              <w:t>7</w:t>
            </w:r>
            <w:r>
              <w:rPr>
                <w:rFonts w:hint="eastAsia" w:ascii="仿宋" w:hAnsi="仿宋" w:eastAsia="仿宋" w:cs="仿宋"/>
                <w:color w:val="000000"/>
                <w:kern w:val="0"/>
                <w:sz w:val="24"/>
                <w:szCs w:val="24"/>
                <w:lang w:val="en-US" w:eastAsia="zh-CN"/>
              </w:rPr>
              <w:t>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219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b/>
                <w:sz w:val="24"/>
                <w:szCs w:val="24"/>
              </w:rPr>
            </w:pPr>
            <w:r>
              <w:rPr>
                <w:rFonts w:hint="eastAsia" w:ascii="仿宋" w:hAnsi="仿宋" w:eastAsia="仿宋" w:cs="仿宋"/>
                <w:bCs/>
                <w:sz w:val="24"/>
                <w:szCs w:val="24"/>
              </w:rPr>
              <w:t>第二课堂</w:t>
            </w:r>
          </w:p>
        </w:tc>
        <w:tc>
          <w:tcPr>
            <w:tcW w:w="78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24"/>
                <w:szCs w:val="24"/>
              </w:rPr>
            </w:pPr>
            <w:r>
              <w:rPr>
                <w:rFonts w:hint="eastAsia" w:ascii="仿宋" w:hAnsi="仿宋" w:eastAsia="仿宋" w:cs="仿宋"/>
                <w:sz w:val="24"/>
                <w:szCs w:val="24"/>
              </w:rPr>
              <w:t>6</w:t>
            </w:r>
          </w:p>
        </w:tc>
        <w:tc>
          <w:tcPr>
            <w:tcW w:w="77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24"/>
                <w:szCs w:val="24"/>
              </w:rPr>
            </w:pPr>
            <w:r>
              <w:rPr>
                <w:rFonts w:hint="eastAsia" w:ascii="仿宋" w:hAnsi="仿宋" w:eastAsia="仿宋" w:cs="仿宋"/>
                <w:sz w:val="24"/>
                <w:szCs w:val="24"/>
              </w:rPr>
              <w:t>96</w:t>
            </w:r>
          </w:p>
        </w:tc>
        <w:tc>
          <w:tcPr>
            <w:tcW w:w="90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24"/>
                <w:szCs w:val="24"/>
              </w:rPr>
            </w:pPr>
            <w:r>
              <w:rPr>
                <w:rFonts w:hint="eastAsia" w:ascii="仿宋" w:hAnsi="仿宋" w:eastAsia="仿宋" w:cs="仿宋"/>
                <w:sz w:val="24"/>
                <w:szCs w:val="24"/>
                <w:lang w:val="en-US" w:eastAsia="zh-CN"/>
              </w:rPr>
              <w:t>3.23</w:t>
            </w:r>
          </w:p>
        </w:tc>
        <w:tc>
          <w:tcPr>
            <w:tcW w:w="106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color w:val="000000"/>
                <w:kern w:val="0"/>
                <w:sz w:val="24"/>
                <w:szCs w:val="24"/>
              </w:rPr>
              <w:t>0</w:t>
            </w:r>
          </w:p>
        </w:tc>
        <w:tc>
          <w:tcPr>
            <w:tcW w:w="100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color w:val="000000"/>
                <w:kern w:val="0"/>
                <w:sz w:val="24"/>
                <w:szCs w:val="24"/>
              </w:rPr>
              <w:t>96</w:t>
            </w:r>
          </w:p>
        </w:tc>
        <w:tc>
          <w:tcPr>
            <w:tcW w:w="109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24"/>
                <w:szCs w:val="24"/>
              </w:rPr>
            </w:pPr>
            <w:r>
              <w:rPr>
                <w:rFonts w:hint="eastAsia" w:ascii="仿宋" w:hAnsi="仿宋" w:eastAsia="仿宋" w:cs="仿宋"/>
                <w:sz w:val="24"/>
                <w:szCs w:val="24"/>
              </w:rPr>
              <w:t>0</w:t>
            </w:r>
          </w:p>
        </w:tc>
        <w:tc>
          <w:tcPr>
            <w:tcW w:w="123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color w:val="000000"/>
                <w:kern w:val="0"/>
                <w:sz w:val="24"/>
                <w:szCs w:val="24"/>
              </w:rPr>
              <w:t>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219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bCs/>
                <w:sz w:val="24"/>
                <w:szCs w:val="24"/>
              </w:rPr>
            </w:pPr>
            <w:r>
              <w:rPr>
                <w:rFonts w:hint="eastAsia" w:ascii="仿宋" w:hAnsi="仿宋" w:eastAsia="仿宋" w:cs="仿宋"/>
                <w:bCs/>
                <w:sz w:val="24"/>
                <w:szCs w:val="24"/>
              </w:rPr>
              <w:t>总   计</w:t>
            </w:r>
          </w:p>
        </w:tc>
        <w:tc>
          <w:tcPr>
            <w:tcW w:w="78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24"/>
                <w:szCs w:val="24"/>
              </w:rPr>
            </w:pPr>
            <w:r>
              <w:rPr>
                <w:rFonts w:hint="eastAsia" w:ascii="仿宋" w:hAnsi="仿宋" w:eastAsia="仿宋" w:cs="仿宋"/>
                <w:sz w:val="24"/>
                <w:szCs w:val="24"/>
              </w:rPr>
              <w:t>180</w:t>
            </w:r>
          </w:p>
        </w:tc>
        <w:tc>
          <w:tcPr>
            <w:tcW w:w="77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24"/>
                <w:szCs w:val="24"/>
              </w:rPr>
            </w:pPr>
            <w:r>
              <w:rPr>
                <w:rFonts w:hint="eastAsia" w:ascii="仿宋" w:hAnsi="仿宋" w:eastAsia="仿宋" w:cs="仿宋"/>
                <w:sz w:val="24"/>
                <w:szCs w:val="24"/>
              </w:rPr>
              <w:t>2976</w:t>
            </w:r>
          </w:p>
        </w:tc>
        <w:tc>
          <w:tcPr>
            <w:tcW w:w="90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24"/>
                <w:szCs w:val="24"/>
              </w:rPr>
            </w:pPr>
            <w:r>
              <w:rPr>
                <w:rFonts w:hint="eastAsia" w:ascii="仿宋" w:hAnsi="仿宋" w:eastAsia="仿宋" w:cs="仿宋"/>
                <w:sz w:val="24"/>
                <w:szCs w:val="24"/>
              </w:rPr>
              <w:t>100</w:t>
            </w:r>
          </w:p>
        </w:tc>
        <w:tc>
          <w:tcPr>
            <w:tcW w:w="1065" w:type="dxa"/>
            <w:tcBorders>
              <w:top w:val="single" w:color="auto" w:sz="4" w:space="0"/>
              <w:left w:val="single" w:color="auto" w:sz="4" w:space="0"/>
              <w:bottom w:val="single" w:color="auto" w:sz="4" w:space="0"/>
              <w:right w:val="single" w:color="auto" w:sz="4" w:space="0"/>
            </w:tcBorders>
            <w:vAlign w:val="center"/>
          </w:tcPr>
          <w:p>
            <w:pPr>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2360</w:t>
            </w:r>
          </w:p>
        </w:tc>
        <w:tc>
          <w:tcPr>
            <w:tcW w:w="100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24"/>
                <w:szCs w:val="24"/>
              </w:rPr>
            </w:pPr>
            <w:r>
              <w:rPr>
                <w:rFonts w:hint="eastAsia" w:ascii="仿宋" w:hAnsi="仿宋" w:eastAsia="仿宋" w:cs="仿宋"/>
                <w:sz w:val="24"/>
                <w:szCs w:val="24"/>
              </w:rPr>
              <w:t>616</w:t>
            </w:r>
          </w:p>
        </w:tc>
        <w:tc>
          <w:tcPr>
            <w:tcW w:w="1095" w:type="dxa"/>
            <w:tcBorders>
              <w:top w:val="single" w:color="auto" w:sz="4" w:space="0"/>
              <w:left w:val="single" w:color="auto" w:sz="4" w:space="0"/>
              <w:bottom w:val="single" w:color="auto" w:sz="4" w:space="0"/>
              <w:right w:val="single" w:color="auto" w:sz="4" w:space="0"/>
            </w:tcBorders>
            <w:vAlign w:val="center"/>
          </w:tcPr>
          <w:p>
            <w:pPr>
              <w:jc w:val="center"/>
              <w:rPr>
                <w:rFonts w:hint="default" w:ascii="仿宋" w:hAnsi="仿宋" w:eastAsia="仿宋" w:cs="仿宋"/>
                <w:sz w:val="24"/>
                <w:szCs w:val="24"/>
                <w:lang w:val="en-US" w:eastAsia="zh-CN"/>
              </w:rPr>
            </w:pPr>
            <w:r>
              <w:rPr>
                <w:rFonts w:hint="eastAsia" w:ascii="仿宋" w:hAnsi="仿宋" w:eastAsia="仿宋" w:cs="仿宋"/>
                <w:sz w:val="24"/>
                <w:szCs w:val="24"/>
              </w:rPr>
              <w:t>19</w:t>
            </w:r>
            <w:r>
              <w:rPr>
                <w:rFonts w:hint="eastAsia" w:ascii="仿宋" w:hAnsi="仿宋" w:eastAsia="仿宋" w:cs="仿宋"/>
                <w:sz w:val="24"/>
                <w:szCs w:val="24"/>
                <w:lang w:val="en-US" w:eastAsia="zh-CN"/>
              </w:rPr>
              <w:t>48</w:t>
            </w:r>
          </w:p>
        </w:tc>
        <w:tc>
          <w:tcPr>
            <w:tcW w:w="1230" w:type="dxa"/>
            <w:tcBorders>
              <w:top w:val="single" w:color="auto" w:sz="4" w:space="0"/>
              <w:left w:val="single" w:color="auto" w:sz="4" w:space="0"/>
              <w:bottom w:val="single" w:color="auto" w:sz="4" w:space="0"/>
              <w:right w:val="single" w:color="auto" w:sz="4" w:space="0"/>
            </w:tcBorders>
            <w:vAlign w:val="center"/>
          </w:tcPr>
          <w:p>
            <w:pPr>
              <w:jc w:val="center"/>
              <w:rPr>
                <w:rFonts w:hint="default" w:ascii="仿宋" w:hAnsi="仿宋" w:eastAsia="仿宋" w:cs="仿宋"/>
                <w:sz w:val="24"/>
                <w:szCs w:val="24"/>
                <w:lang w:val="en-US" w:eastAsia="zh-CN"/>
              </w:rPr>
            </w:pPr>
            <w:r>
              <w:rPr>
                <w:rFonts w:hint="eastAsia" w:ascii="仿宋" w:hAnsi="仿宋" w:eastAsia="仿宋" w:cs="仿宋"/>
                <w:sz w:val="24"/>
                <w:szCs w:val="24"/>
              </w:rPr>
              <w:t>10</w:t>
            </w:r>
            <w:r>
              <w:rPr>
                <w:rFonts w:hint="eastAsia" w:ascii="仿宋" w:hAnsi="仿宋" w:eastAsia="仿宋" w:cs="仿宋"/>
                <w:sz w:val="24"/>
                <w:szCs w:val="24"/>
                <w:lang w:val="en-US" w:eastAsia="zh-CN"/>
              </w:rPr>
              <w:t>28</w:t>
            </w:r>
          </w:p>
        </w:tc>
      </w:tr>
    </w:tbl>
    <w:p>
      <w:pPr>
        <w:spacing w:line="400" w:lineRule="atLeast"/>
        <w:rPr>
          <w:rFonts w:eastAsia="黑体"/>
          <w:sz w:val="24"/>
        </w:rPr>
      </w:pPr>
    </w:p>
    <w:p>
      <w:pPr>
        <w:spacing w:line="400" w:lineRule="atLeast"/>
        <w:outlineLvl w:val="0"/>
        <w:rPr>
          <w:rFonts w:ascii="宋体" w:hAnsi="宋体" w:cs="宋体"/>
          <w:b/>
          <w:bCs/>
          <w:sz w:val="28"/>
          <w:szCs w:val="28"/>
        </w:rPr>
      </w:pPr>
      <w:r>
        <w:rPr>
          <w:rFonts w:hint="eastAsia" w:ascii="宋体" w:hAnsi="宋体" w:cs="宋体"/>
          <w:b/>
          <w:bCs/>
          <w:sz w:val="28"/>
          <w:szCs w:val="28"/>
        </w:rPr>
        <w:t>六、专业指导性教学计划</w:t>
      </w:r>
      <w:bookmarkStart w:id="1" w:name="_GoBack"/>
      <w:bookmarkEnd w:id="1"/>
    </w:p>
    <w:p>
      <w:pPr>
        <w:spacing w:line="400" w:lineRule="atLeast"/>
        <w:outlineLvl w:val="0"/>
        <w:rPr>
          <w:rFonts w:eastAsia="黑体"/>
          <w:b/>
          <w:bCs/>
          <w:sz w:val="24"/>
        </w:rPr>
      </w:pPr>
    </w:p>
    <w:sectPr>
      <w:headerReference r:id="rId3" w:type="default"/>
      <w:pgSz w:w="11906" w:h="16838"/>
      <w:pgMar w:top="1701" w:right="1701" w:bottom="1701" w:left="1701"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11B6D0B"/>
    <w:multiLevelType w:val="singleLevel"/>
    <w:tmpl w:val="911B6D0B"/>
    <w:lvl w:ilvl="0" w:tentative="0">
      <w:start w:val="1"/>
      <w:numFmt w:val="decimal"/>
      <w:lvlText w:val="%1."/>
      <w:lvlJc w:val="left"/>
      <w:pPr>
        <w:tabs>
          <w:tab w:val="left" w:pos="312"/>
        </w:tabs>
      </w:pPr>
    </w:lvl>
  </w:abstractNum>
  <w:abstractNum w:abstractNumId="1">
    <w:nsid w:val="D7B2C4DC"/>
    <w:multiLevelType w:val="singleLevel"/>
    <w:tmpl w:val="D7B2C4DC"/>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5AE5281E"/>
    <w:rsid w:val="000546C9"/>
    <w:rsid w:val="002A3539"/>
    <w:rsid w:val="002C7F16"/>
    <w:rsid w:val="00477FF9"/>
    <w:rsid w:val="005013F8"/>
    <w:rsid w:val="00651FCF"/>
    <w:rsid w:val="00AC3AAF"/>
    <w:rsid w:val="00D84E49"/>
    <w:rsid w:val="04FB100F"/>
    <w:rsid w:val="0885063F"/>
    <w:rsid w:val="0EFF6E46"/>
    <w:rsid w:val="1220185B"/>
    <w:rsid w:val="142272A6"/>
    <w:rsid w:val="152E5A3E"/>
    <w:rsid w:val="15586677"/>
    <w:rsid w:val="16AD4F3D"/>
    <w:rsid w:val="1A961924"/>
    <w:rsid w:val="1E104092"/>
    <w:rsid w:val="241F0093"/>
    <w:rsid w:val="2BF61E5F"/>
    <w:rsid w:val="34DF5ADE"/>
    <w:rsid w:val="434E6B08"/>
    <w:rsid w:val="44995EC6"/>
    <w:rsid w:val="46E76BE4"/>
    <w:rsid w:val="4A2267F1"/>
    <w:rsid w:val="4A6E6A2E"/>
    <w:rsid w:val="4E003D43"/>
    <w:rsid w:val="515C67BC"/>
    <w:rsid w:val="5240424B"/>
    <w:rsid w:val="560631DD"/>
    <w:rsid w:val="56152899"/>
    <w:rsid w:val="5684452F"/>
    <w:rsid w:val="5AE5281E"/>
    <w:rsid w:val="5F195EEB"/>
    <w:rsid w:val="66546D03"/>
    <w:rsid w:val="66EB67BB"/>
    <w:rsid w:val="67207363"/>
    <w:rsid w:val="6B843E18"/>
    <w:rsid w:val="6E3A7325"/>
    <w:rsid w:val="71672CF7"/>
    <w:rsid w:val="72E761BF"/>
    <w:rsid w:val="73CB7279"/>
    <w:rsid w:val="7AC645B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HP</Company>
  <Pages>5</Pages>
  <Words>558</Words>
  <Characters>3185</Characters>
  <Lines>26</Lines>
  <Paragraphs>7</Paragraphs>
  <TotalTime>7</TotalTime>
  <ScaleCrop>false</ScaleCrop>
  <LinksUpToDate>false</LinksUpToDate>
  <CharactersWithSpaces>3736</CharactersWithSpaces>
  <Application>WPS Office_11.1.0.9175_F1E327BC-269C-435d-A152-05C5408002CA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2019-01-12T06:08:00Z</dcterms:created>
  <dc:creator>lu</dc:creator>
  <cp:lastModifiedBy>徐曼</cp:lastModifiedBy>
  <cp:lastPrinted>2019-01-15T02:47:00Z</cp:lastPrinted>
  <dcterms:modified xsi:type="dcterms:W3CDTF">2019-11-27T15:30:11Z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y fmtid="{D5CDD505-2E9C-101B-9397-08002B2CF9AE}" pid="3" name="KSORubyTemplateID" linkTarget="0">
    <vt:lpwstr>6</vt:lpwstr>
  </property>
</Properties>
</file>